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</w:pPr>
      <w:r>
        <w:rPr>
          <w:rFonts w:hint="eastAsia"/>
          <w:sz w:val="21"/>
          <w:lang w:val="en-US" w:eastAsia="zh-CN"/>
        </w:rPr>
        <w:t xml:space="preserve">   </w:t>
      </w:r>
      <w:r>
        <w:rPr>
          <w:sz w:val="21"/>
        </w:rPr>
        <w:drawing>
          <wp:inline distT="0" distB="0" distL="114300" distR="114300">
            <wp:extent cx="6589395" cy="520700"/>
            <wp:effectExtent l="0" t="0" r="1905" b="12700"/>
            <wp:docPr id="23" name="图片 23" descr="页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页头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939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G8608T/16T-ATG  8/16PON口GPON OLT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产品概述：</w:t>
      </w:r>
    </w:p>
    <w:p>
      <w:pPr>
        <w:spacing w:line="360" w:lineRule="auto"/>
        <w:ind w:firstLine="420" w:firstLineChars="200"/>
        <w:rPr>
          <w:rFonts w:hint="eastAsia" w:ascii="Arial" w:cs="Arial"/>
          <w:sz w:val="21"/>
          <w:szCs w:val="21"/>
        </w:rPr>
      </w:pPr>
      <w:r>
        <w:rPr>
          <w:rFonts w:hint="eastAsia" w:ascii="Arial" w:hAnsi="Arial" w:cs="Arial"/>
          <w:sz w:val="21"/>
          <w:szCs w:val="21"/>
        </w:rPr>
        <w:t>G8608T/16T-ATG</w:t>
      </w:r>
      <w:r>
        <w:rPr>
          <w:rFonts w:ascii="Arial" w:cs="Arial"/>
          <w:sz w:val="21"/>
          <w:szCs w:val="21"/>
        </w:rPr>
        <w:t>是冠联通信自行研制的盒式</w:t>
      </w:r>
      <w:r>
        <w:rPr>
          <w:rFonts w:ascii="Arial" w:hAnsi="Arial" w:cs="Arial"/>
          <w:sz w:val="21"/>
          <w:szCs w:val="21"/>
        </w:rPr>
        <w:t>OLT</w:t>
      </w:r>
      <w:r>
        <w:rPr>
          <w:rFonts w:ascii="Arial" w:cs="Arial"/>
          <w:sz w:val="21"/>
          <w:szCs w:val="21"/>
        </w:rPr>
        <w:t>交换设备，提供</w:t>
      </w:r>
      <w:r>
        <w:rPr>
          <w:rFonts w:hint="eastAsia" w:ascii="Arial" w:hAnsi="Arial" w:cs="Arial"/>
          <w:sz w:val="21"/>
          <w:szCs w:val="21"/>
        </w:rPr>
        <w:t>8/16</w:t>
      </w:r>
      <w:r>
        <w:rPr>
          <w:rFonts w:ascii="Arial" w:cs="Arial"/>
          <w:sz w:val="21"/>
          <w:szCs w:val="21"/>
        </w:rPr>
        <w:t>个下行</w:t>
      </w:r>
      <w:r>
        <w:rPr>
          <w:rFonts w:hint="eastAsia" w:ascii="Arial" w:cs="Arial"/>
          <w:sz w:val="21"/>
          <w:szCs w:val="21"/>
        </w:rPr>
        <w:t>G</w:t>
      </w:r>
      <w:r>
        <w:rPr>
          <w:rFonts w:ascii="Arial" w:hAnsi="Arial" w:cs="Arial"/>
          <w:sz w:val="21"/>
          <w:szCs w:val="21"/>
        </w:rPr>
        <w:t>PON</w:t>
      </w:r>
      <w:r>
        <w:rPr>
          <w:rFonts w:ascii="Arial" w:cs="Arial"/>
          <w:sz w:val="21"/>
          <w:szCs w:val="21"/>
        </w:rPr>
        <w:t>口，</w:t>
      </w:r>
      <w:r>
        <w:rPr>
          <w:rFonts w:hint="eastAsia" w:ascii="Arial" w:hAnsi="Arial" w:cs="Arial"/>
          <w:sz w:val="21"/>
          <w:szCs w:val="21"/>
        </w:rPr>
        <w:t>4</w:t>
      </w:r>
      <w:r>
        <w:rPr>
          <w:rFonts w:ascii="Arial" w:cs="Arial"/>
          <w:sz w:val="21"/>
          <w:szCs w:val="21"/>
        </w:rPr>
        <w:t>个上行</w:t>
      </w:r>
      <w:r>
        <w:rPr>
          <w:rFonts w:ascii="Arial" w:hAnsi="Arial" w:cs="Arial"/>
          <w:sz w:val="21"/>
          <w:szCs w:val="21"/>
        </w:rPr>
        <w:t>GE</w:t>
      </w:r>
      <w:r>
        <w:rPr>
          <w:rFonts w:hint="eastAsia" w:ascii="Arial" w:hAnsi="Arial" w:cs="Arial"/>
          <w:sz w:val="21"/>
          <w:szCs w:val="21"/>
        </w:rPr>
        <w:t>光</w:t>
      </w:r>
      <w:r>
        <w:rPr>
          <w:rFonts w:ascii="Arial" w:cs="Arial"/>
          <w:sz w:val="21"/>
          <w:szCs w:val="21"/>
        </w:rPr>
        <w:t>口</w:t>
      </w:r>
      <w:r>
        <w:rPr>
          <w:rFonts w:hint="eastAsia" w:ascii="Arial" w:cs="Arial"/>
          <w:sz w:val="21"/>
          <w:szCs w:val="21"/>
        </w:rPr>
        <w:t>+4个上行GE电口+2个上行10G光口。高度仅1U，安装维护方便，节省空间。该OLT采用业界先进的技术，在以太网业务上具有强大的功能和QoS保证，支持SLA和DBA。高达1:128的分光比，支持不同类型ONU的混和组网，使得运营商的投资做到最小化。</w:t>
      </w:r>
    </w:p>
    <w:p>
      <w:pPr>
        <w:spacing w:line="360" w:lineRule="auto"/>
        <w:ind w:firstLine="420" w:firstLineChars="200"/>
        <w:rPr>
          <w:rFonts w:hint="eastAsia" w:ascii="Arial" w:cs="Arial"/>
          <w:sz w:val="21"/>
          <w:szCs w:val="21"/>
        </w:rPr>
      </w:pPr>
    </w:p>
    <w:p>
      <w:pPr>
        <w:spacing w:line="360" w:lineRule="auto"/>
        <w:ind w:firstLine="420" w:firstLineChars="200"/>
        <w:rPr>
          <w:rFonts w:hint="eastAsia" w:ascii="Arial" w:cs="Arial"/>
          <w:sz w:val="21"/>
          <w:szCs w:val="21"/>
        </w:rPr>
      </w:pPr>
    </w:p>
    <w:p>
      <w:pPr>
        <w:pStyle w:val="19"/>
        <w:numPr>
          <w:ilvl w:val="0"/>
          <w:numId w:val="2"/>
        </w:numPr>
        <w:rPr>
          <w:rFonts w:hAnsi="Arial" w:cs="Arial" w:asciiTheme="minorAscii"/>
          <w:b/>
          <w:bCs/>
          <w:sz w:val="21"/>
          <w:szCs w:val="21"/>
        </w:rPr>
      </w:pPr>
    </w:p>
    <w:p>
      <w:pPr>
        <w:pStyle w:val="4"/>
        <w:ind w:left="0" w:leftChars="0" w:firstLine="0" w:firstLineChars="0"/>
        <w:jc w:val="center"/>
        <w:rPr>
          <w:rFonts w:hint="eastAsia" w:ascii="Arial" w:hAnsi="Arial" w:cs="Arial"/>
          <w:b/>
          <w:sz w:val="24"/>
          <w:szCs w:val="24"/>
        </w:rPr>
      </w:pPr>
      <w:r>
        <w:rPr>
          <w:rFonts w:hint="eastAsia" w:ascii="Arial" w:hAnsi="Arial" w:cs="Arial"/>
          <w:b/>
          <w:sz w:val="24"/>
          <w:szCs w:val="24"/>
        </w:rPr>
        <w:drawing>
          <wp:inline distT="0" distB="0" distL="114300" distR="114300">
            <wp:extent cx="3524885" cy="932180"/>
            <wp:effectExtent l="0" t="0" r="18415" b="1270"/>
            <wp:docPr id="49" name="图片 19" descr="G8616T-A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9" descr="G8616T-AT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4885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ind w:left="0" w:leftChars="0" w:firstLine="0" w:firstLineChars="0"/>
        <w:jc w:val="center"/>
        <w:rPr>
          <w:rFonts w:hint="eastAsia" w:ascii="Arial" w:hAnsi="Arial" w:cs="Arial"/>
          <w:b/>
          <w:sz w:val="24"/>
          <w:szCs w:val="24"/>
        </w:rPr>
      </w:pPr>
      <w:r>
        <w:rPr>
          <w:rFonts w:hint="eastAsia" w:ascii="Arial" w:hAnsi="Arial" w:cs="Arial"/>
          <w:b/>
          <w:sz w:val="24"/>
          <w:szCs w:val="24"/>
        </w:rPr>
        <w:t>16口 GPON OLT</w:t>
      </w:r>
    </w:p>
    <w:p>
      <w:pPr>
        <w:pStyle w:val="4"/>
        <w:ind w:left="0" w:leftChars="0" w:firstLine="0" w:firstLineChars="0"/>
        <w:jc w:val="center"/>
        <w:rPr>
          <w:rFonts w:hint="eastAsia" w:hAnsi="???" w:asciiTheme="minorAscii"/>
          <w:sz w:val="21"/>
          <w:szCs w:val="21"/>
        </w:rPr>
      </w:pPr>
      <w:r>
        <w:rPr>
          <w:rFonts w:hint="eastAsia" w:ascii="Arial" w:hAnsi="Arial" w:cs="Arial"/>
          <w:b/>
          <w:sz w:val="24"/>
          <w:szCs w:val="24"/>
        </w:rPr>
        <w:drawing>
          <wp:inline distT="0" distB="0" distL="114300" distR="114300">
            <wp:extent cx="3674110" cy="971550"/>
            <wp:effectExtent l="0" t="0" r="2540" b="0"/>
            <wp:docPr id="50" name="图片 20" descr="G8608T-A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20" descr="G8608T-AT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7411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3132" w:firstLineChars="1300"/>
        <w:jc w:val="both"/>
        <w:rPr>
          <w:rFonts w:hint="eastAsia" w:ascii="Arial" w:hAnsi="Arial" w:cs="Arial"/>
          <w:b/>
          <w:sz w:val="24"/>
          <w:szCs w:val="24"/>
        </w:rPr>
      </w:pPr>
      <w:r>
        <w:rPr>
          <w:rFonts w:hint="eastAsia" w:ascii="Arial" w:hAnsi="Arial" w:cs="Arial"/>
          <w:b/>
          <w:sz w:val="24"/>
          <w:szCs w:val="24"/>
        </w:rPr>
        <w:t xml:space="preserve">        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Arial" w:hAnsi="Arial" w:cs="Arial"/>
          <w:b/>
          <w:sz w:val="24"/>
          <w:szCs w:val="24"/>
        </w:rPr>
        <w:t>8口GPON OLT</w:t>
      </w:r>
    </w:p>
    <w:p>
      <w:pPr>
        <w:pStyle w:val="4"/>
        <w:ind w:left="0" w:leftChars="0" w:firstLine="0" w:firstLineChars="0"/>
        <w:rPr>
          <w:rFonts w:hint="eastAsia" w:hAnsi="???" w:asciiTheme="minorAscii"/>
          <w:sz w:val="21"/>
          <w:szCs w:val="21"/>
        </w:rPr>
      </w:pPr>
    </w:p>
    <w:p>
      <w:pPr>
        <w:spacing w:line="360" w:lineRule="auto"/>
        <w:rPr>
          <w:rFonts w:hint="eastAsia" w:ascii="Arial" w:hAnsi="Arial" w:cs="Arial"/>
          <w:b/>
          <w:sz w:val="24"/>
          <w:szCs w:val="24"/>
        </w:rPr>
      </w:pPr>
      <w:r>
        <w:rPr>
          <w:rFonts w:hint="eastAsia" w:ascii="Arial" w:hAnsi="Arial" w:cs="Arial"/>
          <w:b/>
          <w:sz w:val="24"/>
          <w:szCs w:val="24"/>
        </w:rPr>
        <w:t>产品特点：</w:t>
      </w:r>
    </w:p>
    <w:p>
      <w:pPr>
        <w:spacing w:line="360" w:lineRule="auto"/>
        <w:rPr>
          <w:rFonts w:hint="eastAsia" w:cs="Arial" w:asciiTheme="minorAscii"/>
          <w:sz w:val="21"/>
          <w:szCs w:val="21"/>
        </w:rPr>
      </w:pPr>
      <w:r>
        <w:rPr>
          <w:rFonts w:hint="eastAsia" w:cs="Arial" w:asciiTheme="minorAscii"/>
          <w:sz w:val="21"/>
          <w:szCs w:val="21"/>
        </w:rPr>
        <w:t>G</w:t>
      </w:r>
      <w:r>
        <w:rPr>
          <w:rFonts w:cs="Arial" w:asciiTheme="minorAscii"/>
          <w:sz w:val="21"/>
          <w:szCs w:val="21"/>
        </w:rPr>
        <w:t>PON:</w:t>
      </w:r>
      <w:r>
        <w:rPr>
          <w:rFonts w:hint="eastAsia" w:cs="Arial" w:asciiTheme="minorAscii"/>
          <w:sz w:val="21"/>
          <w:szCs w:val="21"/>
        </w:rPr>
        <w:t>G8608T/16T-ATG</w:t>
      </w:r>
      <w:r>
        <w:rPr>
          <w:rFonts w:cs="Arial" w:asciiTheme="minorAscii"/>
          <w:sz w:val="21"/>
          <w:szCs w:val="21"/>
        </w:rPr>
        <w:t>遵循ITU.T G.984.x和中华人民共和国通讯行业标准（YD/T 1475-2006）。上连接口: 灵活的设计支持多种不同城域网接口类型组合，根据网络情况选择</w:t>
      </w:r>
      <w:r>
        <w:rPr>
          <w:rFonts w:hint="eastAsia" w:cs="Arial" w:asciiTheme="minorAscii"/>
          <w:sz w:val="21"/>
          <w:szCs w:val="21"/>
        </w:rPr>
        <w:t>千兆</w:t>
      </w:r>
      <w:r>
        <w:rPr>
          <w:rFonts w:cs="Arial" w:asciiTheme="minorAscii"/>
          <w:sz w:val="21"/>
          <w:szCs w:val="21"/>
        </w:rPr>
        <w:t>或</w:t>
      </w:r>
      <w:r>
        <w:rPr>
          <w:rFonts w:hint="eastAsia" w:cs="Arial" w:asciiTheme="minorAscii"/>
          <w:sz w:val="21"/>
          <w:szCs w:val="21"/>
        </w:rPr>
        <w:t>万兆</w:t>
      </w:r>
      <w:r>
        <w:rPr>
          <w:rFonts w:cs="Arial" w:asciiTheme="minorAscii"/>
          <w:sz w:val="21"/>
          <w:szCs w:val="21"/>
        </w:rPr>
        <w:t xml:space="preserve">口。 设备尺寸: 1U的设备占用机房空间小，耗电少，降低业务的运营成本。 </w:t>
      </w:r>
      <w:r>
        <w:rPr>
          <w:rFonts w:hint="eastAsia" w:cs="Arial" w:asciiTheme="minorAscii"/>
          <w:sz w:val="21"/>
          <w:szCs w:val="21"/>
        </w:rPr>
        <w:t xml:space="preserve">高可靠性保障：支持双电源供电。 </w:t>
      </w:r>
    </w:p>
    <w:p>
      <w:pPr>
        <w:spacing w:line="360" w:lineRule="auto"/>
        <w:rPr>
          <w:rFonts w:hint="eastAsia"/>
          <w:sz w:val="21"/>
          <w:szCs w:val="21"/>
        </w:rPr>
      </w:pP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4699000</wp:posOffset>
                </wp:positionV>
                <wp:extent cx="2654935" cy="2113280"/>
                <wp:effectExtent l="0" t="0" r="12065" b="1270"/>
                <wp:wrapNone/>
                <wp:docPr id="38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21132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9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□  </w:t>
                            </w:r>
                            <w:r>
                              <w:rPr>
                                <w:rFonts w:hint="eastAsia" w:ascii="Arial" w:hAnsi="Arial" w:cs="Arial"/>
                                <w:sz w:val="18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RU超紧凑机箱，半槽位高密度线卡</w:t>
                            </w:r>
                          </w:p>
                          <w:p>
                            <w:pPr>
                              <w:pStyle w:val="19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□  1+1主控冗余，</w:t>
                            </w:r>
                            <w:r>
                              <w:rPr>
                                <w:rFonts w:hint="eastAsia" w:ascii="Arial" w:hAnsi="Arial" w:cs="Arial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+1电源冗余</w:t>
                            </w:r>
                          </w:p>
                          <w:p>
                            <w:pPr>
                              <w:pStyle w:val="19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□  热拔插风扇框，智能转速和温度控制</w:t>
                            </w:r>
                          </w:p>
                          <w:p>
                            <w:pPr>
                              <w:pStyle w:val="19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□  共10槽位，8线卡业务槽，2主控交换槽</w:t>
                            </w:r>
                          </w:p>
                          <w:p>
                            <w:pPr>
                              <w:pStyle w:val="19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□  最大同时提供64个EPON</w:t>
                            </w:r>
                            <w:r>
                              <w:rPr>
                                <w:rFonts w:hint="eastAsia" w:ascii="Arial" w:hAnsi="Arial" w:cs="Arial"/>
                                <w:sz w:val="18"/>
                              </w:rPr>
                              <w:t>/GPON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和48</w:t>
                            </w:r>
                            <w:r>
                              <w:rPr>
                                <w:rFonts w:hint="eastAsia" w:ascii="Arial" w:hAnsi="Arial" w:cs="Arial"/>
                                <w:sz w:val="18"/>
                              </w:rPr>
                              <w:t>/64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个千兆口</w:t>
                            </w:r>
                          </w:p>
                          <w:p>
                            <w:pPr>
                              <w:pStyle w:val="19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□  未来插入新板卡提供EPON/10GEPON混插</w:t>
                            </w:r>
                          </w:p>
                          <w:p>
                            <w:pPr>
                              <w:pStyle w:val="19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□  3.2Tbps超宽背板，向40G/100G平滑升级</w:t>
                            </w:r>
                          </w:p>
                          <w:p>
                            <w:pPr>
                              <w:pStyle w:val="19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□  转发和控制双网双平面，全分布式业务处理</w:t>
                            </w:r>
                          </w:p>
                          <w:p>
                            <w:pPr>
                              <w:pStyle w:val="19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□  IPv4/IPv6和MPLS硬件线速转发能力</w:t>
                            </w:r>
                          </w:p>
                          <w:p>
                            <w:pPr>
                              <w:pStyle w:val="19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□  整机满负荷功耗小于680W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344.45pt;margin-top:370pt;height:166.4pt;width:209.05pt;z-index:251732992;mso-width-relative:page;mso-height-relative:page;" fillcolor="#F2F2F2" filled="t" stroked="f" coordsize="21600,21600" o:gfxdata="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JKLqHnbAAAADQEAAA8AAAAAAAAAAQAgAAAAIgAAAGRycy9kb3ducmV2LnhtbFBLAQIUABQAAAAI&#10;AIdO4kAOL0wnsQEAADUDAAAOAAAAAAAAAAEAIAAAACoBAABkcnMvZTJvRG9jLnhtbFBLBQYAAAAA&#10;BgAGAFkBAAB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9"/>
                        <w:spacing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□  </w:t>
                      </w:r>
                      <w:r>
                        <w:rPr>
                          <w:rFonts w:hint="eastAsia" w:ascii="Arial" w:hAnsi="Arial" w:cs="Arial"/>
                          <w:sz w:val="18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RU超紧凑机箱，半槽位高密度线卡</w:t>
                      </w:r>
                    </w:p>
                    <w:p>
                      <w:pPr>
                        <w:pStyle w:val="19"/>
                        <w:spacing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□  1+1主控冗余，</w:t>
                      </w:r>
                      <w:r>
                        <w:rPr>
                          <w:rFonts w:hint="eastAsia" w:ascii="Arial" w:hAnsi="Arial" w:cs="Arial"/>
                          <w:sz w:val="18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+1电源冗余</w:t>
                      </w:r>
                    </w:p>
                    <w:p>
                      <w:pPr>
                        <w:pStyle w:val="19"/>
                        <w:spacing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□  热拔插风扇框，智能转速和温度控制</w:t>
                      </w:r>
                    </w:p>
                    <w:p>
                      <w:pPr>
                        <w:pStyle w:val="19"/>
                        <w:spacing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□  共10槽位，8线卡业务槽，2主控交换槽</w:t>
                      </w:r>
                    </w:p>
                    <w:p>
                      <w:pPr>
                        <w:pStyle w:val="19"/>
                        <w:spacing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□  最大同时提供64个EPON</w:t>
                      </w:r>
                      <w:r>
                        <w:rPr>
                          <w:rFonts w:hint="eastAsia" w:ascii="Arial" w:hAnsi="Arial" w:cs="Arial"/>
                          <w:sz w:val="18"/>
                        </w:rPr>
                        <w:t>/GPON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和48</w:t>
                      </w:r>
                      <w:r>
                        <w:rPr>
                          <w:rFonts w:hint="eastAsia" w:ascii="Arial" w:hAnsi="Arial" w:cs="Arial"/>
                          <w:sz w:val="18"/>
                        </w:rPr>
                        <w:t>/64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个千兆口</w:t>
                      </w:r>
                    </w:p>
                    <w:p>
                      <w:pPr>
                        <w:pStyle w:val="19"/>
                        <w:spacing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□  未来插入新板卡提供EPON/10GEPON混插</w:t>
                      </w:r>
                    </w:p>
                    <w:p>
                      <w:pPr>
                        <w:pStyle w:val="19"/>
                        <w:spacing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□  3.2Tbps超宽背板，向40G/100G平滑升级</w:t>
                      </w:r>
                    </w:p>
                    <w:p>
                      <w:pPr>
                        <w:pStyle w:val="19"/>
                        <w:spacing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□  转发和控制双网双平面，全分布式业务处理</w:t>
                      </w:r>
                    </w:p>
                    <w:p>
                      <w:pPr>
                        <w:pStyle w:val="19"/>
                        <w:spacing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□  IPv4/IPv6和MPLS硬件线速转发能力</w:t>
                      </w:r>
                    </w:p>
                    <w:p>
                      <w:pPr>
                        <w:pStyle w:val="19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□  整机满负荷功耗小于680W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4546600</wp:posOffset>
                </wp:positionV>
                <wp:extent cx="2654935" cy="2113280"/>
                <wp:effectExtent l="0" t="0" r="12065" b="1270"/>
                <wp:wrapNone/>
                <wp:docPr id="37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21132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9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□  </w:t>
                            </w:r>
                            <w:r>
                              <w:rPr>
                                <w:rFonts w:hint="eastAsia" w:ascii="Arial" w:hAnsi="Arial" w:cs="Arial"/>
                                <w:sz w:val="18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RU超紧凑机箱，半槽位高密度线卡</w:t>
                            </w:r>
                          </w:p>
                          <w:p>
                            <w:pPr>
                              <w:pStyle w:val="19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□  1+1主控冗余，</w:t>
                            </w:r>
                            <w:r>
                              <w:rPr>
                                <w:rFonts w:hint="eastAsia" w:ascii="Arial" w:hAnsi="Arial" w:cs="Arial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+1电源冗余</w:t>
                            </w:r>
                          </w:p>
                          <w:p>
                            <w:pPr>
                              <w:pStyle w:val="19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□  热拔插风扇框，智能转速和温度控制</w:t>
                            </w:r>
                          </w:p>
                          <w:p>
                            <w:pPr>
                              <w:pStyle w:val="19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□  共10槽位，8线卡业务槽，2主控交换槽</w:t>
                            </w:r>
                          </w:p>
                          <w:p>
                            <w:pPr>
                              <w:pStyle w:val="19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□  最大同时提供64个EPON</w:t>
                            </w:r>
                            <w:r>
                              <w:rPr>
                                <w:rFonts w:hint="eastAsia" w:ascii="Arial" w:hAnsi="Arial" w:cs="Arial"/>
                                <w:sz w:val="18"/>
                              </w:rPr>
                              <w:t>/GPON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和48</w:t>
                            </w:r>
                            <w:r>
                              <w:rPr>
                                <w:rFonts w:hint="eastAsia" w:ascii="Arial" w:hAnsi="Arial" w:cs="Arial"/>
                                <w:sz w:val="18"/>
                              </w:rPr>
                              <w:t>/64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个千兆口</w:t>
                            </w:r>
                          </w:p>
                          <w:p>
                            <w:pPr>
                              <w:pStyle w:val="19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□  未来插入新板卡提供EPON/10GEPON混插</w:t>
                            </w:r>
                          </w:p>
                          <w:p>
                            <w:pPr>
                              <w:pStyle w:val="19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□  3.2Tbps超宽背板，向40G/100G平滑升级</w:t>
                            </w:r>
                          </w:p>
                          <w:p>
                            <w:pPr>
                              <w:pStyle w:val="19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□  转发和控制双网双平面，全分布式业务处理</w:t>
                            </w:r>
                          </w:p>
                          <w:p>
                            <w:pPr>
                              <w:pStyle w:val="19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□  IPv4/IPv6和MPLS硬件线速转发能力</w:t>
                            </w:r>
                          </w:p>
                          <w:p>
                            <w:pPr>
                              <w:pStyle w:val="19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□  整机满负荷功耗小于680W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332.45pt;margin-top:358pt;height:166.4pt;width:209.05pt;z-index:251726848;mso-width-relative:page;mso-height-relative:page;" fillcolor="#F2F2F2" filled="t" stroked="f" coordsize="21600,21600" o:gfxdata="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BgOks2gAAAA0BAAAPAAAAAAAAAAEAIAAAACIAAABkcnMvZG93bnJldi54bWxQSwECFAAUAAAA&#10;CACHTuJAz2jaG7MBAAA0AwAADgAAAAAAAAABACAAAAApAQAAZHJzL2Uyb0RvYy54bWxQSwUGAAAA&#10;AAYABgBZAQAAT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9"/>
                        <w:spacing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□  </w:t>
                      </w:r>
                      <w:r>
                        <w:rPr>
                          <w:rFonts w:hint="eastAsia" w:ascii="Arial" w:hAnsi="Arial" w:cs="Arial"/>
                          <w:sz w:val="18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RU超紧凑机箱，半槽位高密度线卡</w:t>
                      </w:r>
                    </w:p>
                    <w:p>
                      <w:pPr>
                        <w:pStyle w:val="19"/>
                        <w:spacing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□  1+1主控冗余，</w:t>
                      </w:r>
                      <w:r>
                        <w:rPr>
                          <w:rFonts w:hint="eastAsia" w:ascii="Arial" w:hAnsi="Arial" w:cs="Arial"/>
                          <w:sz w:val="18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+1电源冗余</w:t>
                      </w:r>
                    </w:p>
                    <w:p>
                      <w:pPr>
                        <w:pStyle w:val="19"/>
                        <w:spacing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□  热拔插风扇框，智能转速和温度控制</w:t>
                      </w:r>
                    </w:p>
                    <w:p>
                      <w:pPr>
                        <w:pStyle w:val="19"/>
                        <w:spacing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□  共10槽位，8线卡业务槽，2主控交换槽</w:t>
                      </w:r>
                    </w:p>
                    <w:p>
                      <w:pPr>
                        <w:pStyle w:val="19"/>
                        <w:spacing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□  最大同时提供64个EPON</w:t>
                      </w:r>
                      <w:r>
                        <w:rPr>
                          <w:rFonts w:hint="eastAsia" w:ascii="Arial" w:hAnsi="Arial" w:cs="Arial"/>
                          <w:sz w:val="18"/>
                        </w:rPr>
                        <w:t>/GPON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和48</w:t>
                      </w:r>
                      <w:r>
                        <w:rPr>
                          <w:rFonts w:hint="eastAsia" w:ascii="Arial" w:hAnsi="Arial" w:cs="Arial"/>
                          <w:sz w:val="18"/>
                        </w:rPr>
                        <w:t>/64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个千兆口</w:t>
                      </w:r>
                    </w:p>
                    <w:p>
                      <w:pPr>
                        <w:pStyle w:val="19"/>
                        <w:spacing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□  未来插入新板卡提供EPON/10GEPON混插</w:t>
                      </w:r>
                    </w:p>
                    <w:p>
                      <w:pPr>
                        <w:pStyle w:val="19"/>
                        <w:spacing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□  3.2Tbps超宽背板，向40G/100G平滑升级</w:t>
                      </w:r>
                    </w:p>
                    <w:p>
                      <w:pPr>
                        <w:pStyle w:val="19"/>
                        <w:spacing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□  转发和控制双网双平面，全分布式业务处理</w:t>
                      </w:r>
                    </w:p>
                    <w:p>
                      <w:pPr>
                        <w:pStyle w:val="19"/>
                        <w:spacing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□  IPv4/IPv6和MPLS硬件线速转发能力</w:t>
                      </w:r>
                    </w:p>
                    <w:p>
                      <w:pPr>
                        <w:pStyle w:val="19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□  整机满负荷功耗小于680W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8"/>
        <w:numPr>
          <w:ilvl w:val="0"/>
          <w:numId w:val="0"/>
        </w:numPr>
        <w:spacing w:before="0" w:beforeAutospacing="0" w:after="0" w:afterAutospacing="0" w:line="360" w:lineRule="auto"/>
        <w:rPr>
          <w:rFonts w:hint="eastAsia"/>
          <w:sz w:val="21"/>
          <w:szCs w:val="21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610350" cy="76200"/>
                <wp:effectExtent l="6350" t="6350" r="12700" b="12700"/>
                <wp:wrapNone/>
                <wp:docPr id="13" name="流程图: 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29030" y="1420495"/>
                          <a:ext cx="6610350" cy="76200"/>
                        </a:xfrm>
                        <a:prstGeom prst="flowChartProcess">
                          <a:avLst/>
                        </a:prstGeom>
                        <a:solidFill>
                          <a:srgbClr val="18388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0pt;margin-top:4.2pt;height:6pt;width:520.5pt;z-index:251658240;v-text-anchor:middle;mso-width-relative:page;mso-height-relative:page;" fillcolor="#183884" filled="t" stroked="t" coordsize="21600,21600" o:gfxdata="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AbneGzUAAAABgEAAA8AAAAAAAAA&#10;AQAgAAAAIgAAAGRycy9kb3ducmV2LnhtbFBLAQIUABQAAAAIAIdO4kDzVam0hwIAAOsEAAAOAAAA&#10;AAAAAAEAIAAAACMBAABkcnMvZTJvRG9jLnhtbFBLBQYAAAAABgAGAFkBAAAcBgAAAAA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Style w:val="9"/>
          <w:rFonts w:hint="eastAsia"/>
          <w:sz w:val="15"/>
          <w:szCs w:val="15"/>
          <w:lang w:val="en-US" w:eastAsia="zh-CN"/>
        </w:rPr>
      </w:pPr>
      <w:r>
        <w:rPr>
          <w:rStyle w:val="9"/>
          <w:rFonts w:hint="eastAsia"/>
          <w:sz w:val="15"/>
          <w:szCs w:val="15"/>
          <w:lang w:val="en-US" w:eastAsia="zh-CN"/>
        </w:rPr>
        <w:t>网址：www.gl-com.com.cn                                                         电话：</w:t>
      </w:r>
      <w:r>
        <w:rPr>
          <w:rStyle w:val="9"/>
          <w:sz w:val="15"/>
          <w:szCs w:val="15"/>
        </w:rPr>
        <w:t>+86 755 8419 3000</w:t>
      </w:r>
    </w:p>
    <w:p>
      <w:r>
        <w:rPr>
          <w:rStyle w:val="9"/>
          <w:rFonts w:hint="eastAsia"/>
          <w:sz w:val="15"/>
          <w:szCs w:val="15"/>
          <w:lang w:val="en-US" w:eastAsia="zh-CN"/>
        </w:rPr>
        <w:t>地址：</w:t>
      </w:r>
      <w:r>
        <w:rPr>
          <w:rStyle w:val="9"/>
          <w:sz w:val="15"/>
          <w:szCs w:val="15"/>
        </w:rPr>
        <w:t>深圳市龙岗区龙城街道吉祥社区彩云一路2号4楼（鑫潮工业园）</w:t>
      </w:r>
      <w:r>
        <w:rPr>
          <w:rStyle w:val="9"/>
          <w:rFonts w:hint="eastAsia"/>
          <w:sz w:val="15"/>
          <w:szCs w:val="15"/>
          <w:lang w:val="en-US" w:eastAsia="zh-CN"/>
        </w:rPr>
        <w:t xml:space="preserve">                传真：</w:t>
      </w:r>
      <w:r>
        <w:rPr>
          <w:rStyle w:val="9"/>
          <w:sz w:val="15"/>
          <w:szCs w:val="15"/>
        </w:rPr>
        <w:t>+86755 8419 3093</w:t>
      </w:r>
      <w:r>
        <w:br w:type="page"/>
      </w:r>
    </w:p>
    <w:p>
      <w:pPr>
        <w:rPr>
          <w:rFonts w:ascii="Arial" w:hAnsi="Arial" w:cs="Arial"/>
          <w:b/>
          <w:bCs/>
        </w:rPr>
      </w:pPr>
      <w:r>
        <w:rPr>
          <w:rFonts w:hint="eastAsia"/>
          <w:sz w:val="21"/>
          <w:lang w:val="en-US" w:eastAsia="zh-CN"/>
        </w:rPr>
        <w:t xml:space="preserve"> </w:t>
      </w:r>
      <w:r>
        <w:rPr>
          <w:sz w:val="21"/>
        </w:rPr>
        <w:drawing>
          <wp:inline distT="0" distB="0" distL="114300" distR="114300">
            <wp:extent cx="6589395" cy="520700"/>
            <wp:effectExtent l="0" t="0" r="1905" b="12700"/>
            <wp:docPr id="24" name="图片 24" descr="页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页头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939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Arial" w:hAnsi="Arial" w:cs="Arial"/>
          <w:b/>
          <w:sz w:val="24"/>
          <w:szCs w:val="24"/>
        </w:rPr>
      </w:pPr>
    </w:p>
    <w:p>
      <w:pPr>
        <w:spacing w:line="360" w:lineRule="auto"/>
        <w:rPr>
          <w:rFonts w:hint="eastAsia" w:ascii="Arial" w:hAnsi="Arial" w:cs="Arial"/>
          <w:b/>
          <w:sz w:val="24"/>
          <w:szCs w:val="24"/>
        </w:rPr>
      </w:pPr>
      <w:r>
        <w:rPr>
          <w:rFonts w:hint="eastAsia" w:ascii="Arial" w:hAnsi="Arial" w:cs="Arial"/>
          <w:b/>
          <w:sz w:val="24"/>
          <w:szCs w:val="24"/>
        </w:rPr>
        <w:t>产品特性:</w:t>
      </w:r>
    </w:p>
    <w:p>
      <w:pPr>
        <w:numPr>
          <w:ilvl w:val="0"/>
          <w:numId w:val="3"/>
        </w:numPr>
        <w:spacing w:line="360" w:lineRule="auto"/>
        <w:ind w:left="420" w:leftChars="0" w:hanging="420" w:firstLineChars="0"/>
        <w:rPr>
          <w:rFonts w:hint="eastAsia" w:ascii="Arial" w:hAnsi="Arial" w:cs="Arial"/>
        </w:rPr>
      </w:pPr>
      <w:r>
        <w:rPr>
          <w:rFonts w:hint="eastAsia" w:ascii="Arial" w:hAnsi="Arial" w:cs="Arial"/>
        </w:rPr>
        <w:t>提供高密度的PON口，整机满配可支持512/1024个ONU终端，比普通盒式OLT容量更大。每个PON口支持1:128的分光比(最大接入128个ONU)，热拔插PON光模块设计，最远支持20Km的传输距离；</w:t>
      </w:r>
    </w:p>
    <w:p>
      <w:pPr>
        <w:numPr>
          <w:ilvl w:val="0"/>
          <w:numId w:val="3"/>
        </w:numPr>
        <w:spacing w:line="360" w:lineRule="auto"/>
        <w:ind w:left="420" w:leftChars="0" w:hanging="420" w:firstLineChars="0"/>
        <w:rPr>
          <w:rFonts w:hint="eastAsia" w:ascii="Arial" w:hAnsi="Arial" w:cs="Arial"/>
        </w:rPr>
      </w:pPr>
      <w:r>
        <w:rPr>
          <w:rFonts w:hint="eastAsia" w:ascii="Arial" w:hAnsi="Arial" w:cs="Arial"/>
        </w:rPr>
        <w:t>支持PON光纤冗余保护，</w:t>
      </w:r>
      <w:r>
        <w:rPr>
          <w:rFonts w:ascii="Arial" w:hAnsi="Arial" w:cs="Arial"/>
        </w:rPr>
        <w:t>在光纤发生故障时链路自动保护切换</w:t>
      </w:r>
      <w:r>
        <w:rPr>
          <w:rFonts w:hint="eastAsia" w:ascii="Arial" w:hAnsi="Arial" w:cs="Arial"/>
        </w:rPr>
        <w:t>；</w:t>
      </w:r>
    </w:p>
    <w:p>
      <w:pPr>
        <w:numPr>
          <w:ilvl w:val="0"/>
          <w:numId w:val="4"/>
        </w:numPr>
        <w:spacing w:line="360" w:lineRule="auto"/>
        <w:ind w:left="420" w:leftChars="0" w:hanging="420" w:firstLineChars="0"/>
        <w:rPr>
          <w:rFonts w:hint="eastAsia" w:ascii="Arial" w:hAnsi="Arial" w:cs="Arial"/>
        </w:rPr>
      </w:pPr>
      <w:r>
        <w:rPr>
          <w:rFonts w:hint="eastAsia" w:ascii="Arial" w:hAnsi="Arial" w:cs="Arial"/>
        </w:rPr>
        <w:t>全面的PON业务能力，支持动态带宽分配DBA算法，</w:t>
      </w:r>
      <w:r>
        <w:rPr>
          <w:rFonts w:ascii="Arial" w:hAnsi="Arial" w:cs="Arial"/>
        </w:rPr>
        <w:t>动态带宽分配机制</w:t>
      </w:r>
      <w:r>
        <w:rPr>
          <w:rFonts w:hint="eastAsia" w:ascii="Arial" w:hAnsi="Arial" w:cs="Arial"/>
        </w:rPr>
        <w:t>（DBA）</w:t>
      </w:r>
      <w:r>
        <w:rPr>
          <w:rFonts w:ascii="Arial" w:hAnsi="Arial" w:cs="Arial"/>
        </w:rPr>
        <w:t>使所有用户可更合理地共享</w:t>
      </w:r>
      <w:r>
        <w:rPr>
          <w:rFonts w:hint="eastAsia" w:ascii="Arial" w:hAnsi="Arial" w:cs="Arial"/>
        </w:rPr>
        <w:t>2.5</w:t>
      </w:r>
      <w:r>
        <w:rPr>
          <w:rFonts w:ascii="Arial" w:hAnsi="Arial" w:cs="Arial"/>
        </w:rPr>
        <w:t>Gbps的带宽，实现可靠的服务质量</w:t>
      </w:r>
      <w:r>
        <w:rPr>
          <w:rFonts w:hint="eastAsia" w:ascii="Arial" w:hAnsi="Arial" w:cs="Arial"/>
        </w:rPr>
        <w:t>；</w:t>
      </w:r>
    </w:p>
    <w:p>
      <w:pPr>
        <w:numPr>
          <w:ilvl w:val="0"/>
          <w:numId w:val="5"/>
        </w:numPr>
        <w:spacing w:line="360" w:lineRule="auto"/>
        <w:ind w:left="420" w:leftChars="0" w:hanging="420" w:firstLineChars="0"/>
        <w:rPr>
          <w:rFonts w:hint="eastAsia" w:ascii="Arial" w:hAnsi="Arial" w:cs="Arial"/>
        </w:rPr>
      </w:pPr>
      <w:r>
        <w:rPr>
          <w:rFonts w:hint="eastAsia" w:ascii="Arial" w:hAnsi="Arial" w:cs="Arial"/>
        </w:rPr>
        <w:t>支持丰富的以太网功能，具备有效的隔离保障机制、VLAN隔离、保护端口、MAC地址绑定、IP地址绑定、端口限速、队列技术、流控技术等为多业务融合的开展起到了技术保障；</w:t>
      </w:r>
    </w:p>
    <w:p>
      <w:pPr>
        <w:numPr>
          <w:ilvl w:val="0"/>
          <w:numId w:val="6"/>
        </w:numPr>
        <w:spacing w:line="360" w:lineRule="auto"/>
        <w:ind w:left="420" w:leftChars="0" w:hanging="420" w:firstLineChars="0"/>
        <w:rPr>
          <w:rFonts w:hint="eastAsia" w:ascii="Arial" w:hAnsi="Arial" w:cs="Arial"/>
        </w:rPr>
      </w:pPr>
      <w:r>
        <w:rPr>
          <w:rFonts w:hint="eastAsia" w:ascii="Arial" w:hAnsi="Arial" w:cs="Arial"/>
        </w:rPr>
        <w:t>完善的安全保护机制，采用基于硬件的逐包转发，可针对特征报文进行有效检测和过滤，</w:t>
      </w:r>
      <w:r>
        <w:rPr>
          <w:rFonts w:hint="eastAsia" w:ascii="Arial" w:cs="Arial"/>
        </w:rPr>
        <w:t>支持基于MAC地址的ARP攻击自动防护和自动用户封杀功能</w:t>
      </w:r>
      <w:r>
        <w:rPr>
          <w:rFonts w:hint="eastAsia" w:ascii="Arial" w:hAnsi="Arial" w:cs="Arial"/>
        </w:rPr>
        <w:t>，防止协议报文的攻击。</w:t>
      </w:r>
      <w:r>
        <w:rPr>
          <w:rFonts w:hint="eastAsia" w:ascii="Arial" w:cs="Arial"/>
        </w:rPr>
        <w:t>支持各种防DDoS、CPU过流保护和VRRP等设备保护功能</w:t>
      </w:r>
      <w:r>
        <w:rPr>
          <w:rFonts w:hint="eastAsia" w:ascii="Arial" w:hAnsi="Arial" w:cs="Arial"/>
        </w:rPr>
        <w:t>，防止非法或者异常的流量进入网络，抵御多种病毒攻击，保证设备管理的安全；</w:t>
      </w:r>
    </w:p>
    <w:p>
      <w:pPr>
        <w:numPr>
          <w:ilvl w:val="0"/>
          <w:numId w:val="7"/>
        </w:numPr>
        <w:spacing w:line="360" w:lineRule="auto"/>
        <w:ind w:left="420" w:leftChars="0" w:hanging="420" w:firstLineChars="0"/>
        <w:rPr>
          <w:rFonts w:hint="eastAsia"/>
        </w:rPr>
      </w:pPr>
      <w:r>
        <w:rPr>
          <w:rFonts w:hint="eastAsia"/>
        </w:rPr>
        <w:t>业务功能丰富，全面支持二层业务功能。实现灵活QinQ和QoS等高级功能，ACL支持L2～L7深入IP报文头部80字节的报文过滤，为多业务运行提供高品质的</w:t>
      </w:r>
      <w:r>
        <w:t>QoS</w:t>
      </w:r>
      <w:r>
        <w:rPr>
          <w:rFonts w:hint="eastAsia"/>
        </w:rPr>
        <w:t>服务质量保障；</w:t>
      </w:r>
    </w:p>
    <w:p>
      <w:pPr>
        <w:numPr>
          <w:ilvl w:val="0"/>
          <w:numId w:val="8"/>
        </w:numPr>
        <w:spacing w:line="360" w:lineRule="auto"/>
        <w:ind w:left="420" w:leftChars="0" w:hanging="420" w:firstLineChars="0"/>
        <w:rPr>
          <w:rFonts w:hint="eastAsia" w:ascii="Arial" w:hAnsi="Arial" w:cs="Arial"/>
        </w:rPr>
      </w:pPr>
      <w:r>
        <w:rPr>
          <w:rFonts w:hint="eastAsia"/>
          <w:szCs w:val="21"/>
        </w:rPr>
        <w:t>高度集中的运营管理与维护，面向业务，提供统一的网络传输和互联协议、地址管理、域名管理、安全管理、用户接入管理等。</w:t>
      </w:r>
      <w:r>
        <w:rPr>
          <w:szCs w:val="21"/>
        </w:rPr>
        <w:t>丰富的OAM功能，包括配置、告警、性能监控、故障隔离和安全管理等</w:t>
      </w:r>
      <w:r>
        <w:rPr>
          <w:rFonts w:hint="eastAsia"/>
          <w:szCs w:val="21"/>
        </w:rPr>
        <w:t>。</w:t>
      </w:r>
    </w:p>
    <w:p>
      <w:pPr>
        <w:rPr>
          <w:rStyle w:val="9"/>
          <w:rFonts w:hint="eastAsia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 w:ascii="Arial" w:hAnsi="Arial" w:cs="Arial"/>
          <w:b/>
          <w:sz w:val="24"/>
          <w:szCs w:val="24"/>
        </w:rPr>
      </w:pPr>
      <w:r>
        <w:rPr>
          <w:rFonts w:hint="eastAsia" w:ascii="Arial" w:hAnsi="Arial" w:cs="Arial"/>
          <w:b/>
          <w:sz w:val="24"/>
          <w:szCs w:val="24"/>
        </w:rPr>
        <w:t>产品规格:</w:t>
      </w:r>
    </w:p>
    <w:tbl>
      <w:tblPr>
        <w:tblStyle w:val="13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6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196" w:type="dxa"/>
            <w:shd w:val="clear" w:color="auto" w:fill="FFFFFF"/>
            <w:vAlign w:val="center"/>
          </w:tcPr>
          <w:p>
            <w:pPr>
              <w:pStyle w:val="16"/>
              <w:numPr>
                <w:ilvl w:val="0"/>
                <w:numId w:val="9"/>
              </w:numPr>
              <w:rPr>
                <w:rFonts w:hint="eastAsia" w:asciiTheme="minorEastAsia" w:hAnsiTheme="minorEastAsia" w:eastAsiaTheme="minorEastAsia" w:cs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1"/>
                <w:szCs w:val="21"/>
              </w:rPr>
              <w:t>项目</w:t>
            </w:r>
          </w:p>
        </w:tc>
        <w:tc>
          <w:tcPr>
            <w:tcW w:w="6276" w:type="dxa"/>
            <w:shd w:val="clear" w:color="auto" w:fill="FFFFFF"/>
            <w:vAlign w:val="center"/>
          </w:tcPr>
          <w:p>
            <w:pPr>
              <w:pStyle w:val="16"/>
              <w:numPr>
                <w:ilvl w:val="0"/>
                <w:numId w:val="9"/>
              </w:numPr>
              <w:rPr>
                <w:rFonts w:hint="eastAsia" w:asciiTheme="minorEastAsia" w:hAnsiTheme="minorEastAsia" w:eastAsiaTheme="minorEastAsia" w:cs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1"/>
                <w:szCs w:val="21"/>
              </w:rPr>
              <w:t>G8608T/16T-ATG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196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交换容量</w:t>
            </w:r>
          </w:p>
        </w:tc>
        <w:tc>
          <w:tcPr>
            <w:tcW w:w="6276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102Gbps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196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业务端口</w:t>
            </w:r>
          </w:p>
        </w:tc>
        <w:tc>
          <w:tcPr>
            <w:tcW w:w="6276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8/16*PON口，4*GE光口+4GE电口，2*10GE SFP+端口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196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冗余设计</w:t>
            </w:r>
          </w:p>
        </w:tc>
        <w:tc>
          <w:tcPr>
            <w:tcW w:w="6276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双电源供电，可支持双AC输入、双DC输入和AC+DC输入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196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电源</w:t>
            </w:r>
          </w:p>
        </w:tc>
        <w:tc>
          <w:tcPr>
            <w:tcW w:w="6276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交流：输入100～240V　47/63Hz；</w:t>
            </w:r>
          </w:p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直流：输入-36V～-75V；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196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满载功耗</w:t>
            </w:r>
          </w:p>
        </w:tc>
        <w:tc>
          <w:tcPr>
            <w:tcW w:w="6276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≤85W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196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外形尺寸(宽*高*深)</w:t>
            </w:r>
          </w:p>
        </w:tc>
        <w:tc>
          <w:tcPr>
            <w:tcW w:w="6276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440mm×44mm×380mm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满配重量</w:t>
            </w:r>
          </w:p>
        </w:tc>
        <w:tc>
          <w:tcPr>
            <w:tcW w:w="6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≤3kg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环境参数</w:t>
            </w:r>
          </w:p>
        </w:tc>
        <w:tc>
          <w:tcPr>
            <w:tcW w:w="6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运行温度：0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Symbol" w:char="F0B0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C～40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Symbol" w:char="F0B0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</w:t>
            </w:r>
          </w:p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存储温度：-40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Symbol" w:char="F0B0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C～70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Symbol" w:char="F0B0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</w:t>
            </w:r>
          </w:p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相对湿度：10%～90%，无凝结</w:t>
            </w:r>
          </w:p>
        </w:tc>
      </w:tr>
    </w:tbl>
    <w:p>
      <w:pPr>
        <w:spacing w:line="360" w:lineRule="auto"/>
        <w:rPr>
          <w:rFonts w:hint="eastAsia" w:ascii="Arial" w:hAnsi="Arial" w:cs="Arial"/>
          <w:b/>
          <w:sz w:val="24"/>
          <w:szCs w:val="24"/>
        </w:rPr>
      </w:pPr>
      <w:r>
        <w:rPr>
          <w:rFonts w:hint="eastAsia" w:ascii="Arial" w:hAnsi="Arial" w:cs="Arial"/>
          <w:b/>
          <w:sz w:val="24"/>
          <w:szCs w:val="24"/>
        </w:rPr>
        <w:t>业务特性:</w:t>
      </w:r>
    </w:p>
    <w:p>
      <w:pPr>
        <w:spacing w:line="360" w:lineRule="auto"/>
        <w:rPr>
          <w:rFonts w:hint="eastAsia" w:ascii="Arial" w:hAnsi="Arial" w:cs="Arial"/>
          <w:b/>
          <w:sz w:val="24"/>
          <w:szCs w:val="24"/>
        </w:rPr>
      </w:pPr>
    </w:p>
    <w:tbl>
      <w:tblPr>
        <w:tblStyle w:val="1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155"/>
        <w:gridCol w:w="6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221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numPr>
                <w:ilvl w:val="0"/>
                <w:numId w:val="9"/>
              </w:numPr>
              <w:rPr>
                <w:rFonts w:hint="eastAsia" w:hAnsi="宋体" w:asciiTheme="minorAscii"/>
                <w:b w:val="0"/>
                <w:sz w:val="21"/>
                <w:szCs w:val="21"/>
              </w:rPr>
            </w:pPr>
            <w:r>
              <w:rPr>
                <w:rFonts w:hint="eastAsia" w:hAnsi="宋体" w:asciiTheme="minorAscii"/>
                <w:b w:val="0"/>
                <w:sz w:val="21"/>
                <w:szCs w:val="21"/>
              </w:rPr>
              <w:t>项目</w:t>
            </w:r>
          </w:p>
        </w:tc>
        <w:tc>
          <w:tcPr>
            <w:tcW w:w="6301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numPr>
                <w:ilvl w:val="0"/>
                <w:numId w:val="9"/>
              </w:numPr>
              <w:rPr>
                <w:rFonts w:hint="eastAsia" w:hAnsi="宋体" w:asciiTheme="minorAscii"/>
                <w:b w:val="0"/>
                <w:sz w:val="21"/>
                <w:szCs w:val="21"/>
              </w:rPr>
            </w:pPr>
            <w:r>
              <w:rPr>
                <w:rFonts w:hint="eastAsia" w:hAnsi="宋体" w:asciiTheme="minorAscii"/>
                <w:b w:val="0"/>
                <w:sz w:val="21"/>
                <w:szCs w:val="21"/>
              </w:rPr>
              <w:t>G8604T/08T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221" w:type="dxa"/>
            <w:gridSpan w:val="2"/>
            <w:shd w:val="clear" w:color="auto" w:fill="FFFFFF"/>
            <w:vAlign w:val="center"/>
          </w:tcPr>
          <w:p>
            <w:pPr>
              <w:pStyle w:val="17"/>
              <w:jc w:val="center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无源光接入特性</w:t>
            </w:r>
          </w:p>
          <w:p>
            <w:pPr>
              <w:pStyle w:val="17"/>
              <w:jc w:val="center"/>
              <w:rPr>
                <w:rFonts w:hint="eastAsia" w:hAnsi="宋体" w:asciiTheme="minorAscii"/>
                <w:sz w:val="21"/>
                <w:szCs w:val="21"/>
              </w:rPr>
            </w:pPr>
          </w:p>
        </w:tc>
        <w:tc>
          <w:tcPr>
            <w:tcW w:w="6301" w:type="dxa"/>
            <w:shd w:val="clear" w:color="auto" w:fill="FFFFFF"/>
            <w:vAlign w:val="center"/>
          </w:tcPr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符合</w:t>
            </w:r>
            <w:r>
              <w:rPr>
                <w:rFonts w:hAnsi="宋体" w:asciiTheme="minorAscii"/>
                <w:sz w:val="21"/>
                <w:szCs w:val="21"/>
              </w:rPr>
              <w:t>ITU.T G.984.x</w:t>
            </w:r>
            <w:r>
              <w:rPr>
                <w:rFonts w:hint="eastAsia" w:hAnsi="宋体" w:asciiTheme="minorAscii"/>
                <w:sz w:val="21"/>
                <w:szCs w:val="21"/>
              </w:rPr>
              <w:t xml:space="preserve"> GPON标准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符合中国电信/中国联通GEPON互通标准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支持单根光纤上20Km的传输距离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支持单根光纤上无源分光接入128个终端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支持128Bits上下行三重搅动加密功能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支持ONU终端合法性认证，非法ONU注册事件上报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支持动态带宽分配DBA算法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支持标准OAM和扩展OAM管理功能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支持ONU软件批量升级、定时升级、实时升级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支持PON口发光功率，接受光功率检测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pStyle w:val="17"/>
              <w:jc w:val="center"/>
              <w:rPr>
                <w:rFonts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二层特性</w:t>
            </w:r>
          </w:p>
          <w:p>
            <w:pPr>
              <w:pStyle w:val="17"/>
              <w:jc w:val="center"/>
              <w:rPr>
                <w:rFonts w:hint="eastAsia" w:hAnsi="宋体" w:asciiTheme="minorAscii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17"/>
              <w:jc w:val="center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MAC</w:t>
            </w:r>
          </w:p>
        </w:tc>
        <w:tc>
          <w:tcPr>
            <w:tcW w:w="6301" w:type="dxa"/>
            <w:vAlign w:val="center"/>
          </w:tcPr>
          <w:p>
            <w:pPr>
              <w:pStyle w:val="17"/>
              <w:rPr>
                <w:rFonts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支持黑洞MAC地址表(MAC Black Hole)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支持端口MAC地址数量限制(Port MAC Limit)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支持32K MAC地址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eastAsia" w:hAnsi="宋体" w:asciiTheme="minorAscii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17"/>
              <w:jc w:val="center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VLAN</w:t>
            </w:r>
          </w:p>
        </w:tc>
        <w:tc>
          <w:tcPr>
            <w:tcW w:w="6301" w:type="dxa"/>
            <w:vAlign w:val="center"/>
          </w:tcPr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支持4K VLAN表项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支持基于端口、MAC、协议和IP子网的VLAN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支持端口QinQ和灵活QinQ(StackVLAN)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支持VLAN Swap和VLAN Remark</w:t>
            </w:r>
          </w:p>
          <w:p>
            <w:pPr>
              <w:pStyle w:val="17"/>
              <w:rPr>
                <w:rFonts w:hint="eastAsia" w:hAnsi="宋体" w:asciiTheme="minorAscii"/>
                <w:bCs/>
                <w:sz w:val="21"/>
                <w:szCs w:val="21"/>
              </w:rPr>
            </w:pPr>
            <w:r>
              <w:rPr>
                <w:rFonts w:hint="eastAsia" w:hAnsi="宋体" w:asciiTheme="minorAscii"/>
                <w:bCs/>
                <w:sz w:val="21"/>
                <w:szCs w:val="21"/>
              </w:rPr>
              <w:t>支持PVLAN实现端口隔离和节约公用VLAN资源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bCs/>
                <w:sz w:val="21"/>
                <w:szCs w:val="21"/>
              </w:rPr>
              <w:t>支持GVRP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eastAsia" w:hAnsi="宋体" w:asciiTheme="minorAscii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17"/>
              <w:jc w:val="center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生成树</w:t>
            </w:r>
          </w:p>
        </w:tc>
        <w:tc>
          <w:tcPr>
            <w:tcW w:w="6301" w:type="dxa"/>
            <w:vAlign w:val="top"/>
          </w:tcPr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支持STP/RSTP/MSTP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支持远端环路检测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eastAsia" w:hAnsi="宋体" w:asciiTheme="minorAscii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17"/>
              <w:jc w:val="center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端口</w:t>
            </w:r>
          </w:p>
        </w:tc>
        <w:tc>
          <w:tcPr>
            <w:tcW w:w="6301" w:type="dxa"/>
            <w:vAlign w:val="top"/>
          </w:tcPr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支持双向带宽控制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支持静态和LACP动态汇聚端口聚合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支持端口镜像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pStyle w:val="17"/>
              <w:jc w:val="center"/>
              <w:rPr>
                <w:rFonts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安全特性</w:t>
            </w:r>
          </w:p>
        </w:tc>
        <w:tc>
          <w:tcPr>
            <w:tcW w:w="1155" w:type="dxa"/>
            <w:vAlign w:val="center"/>
          </w:tcPr>
          <w:p>
            <w:pPr>
              <w:pStyle w:val="17"/>
              <w:jc w:val="center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用户安全</w:t>
            </w:r>
          </w:p>
        </w:tc>
        <w:tc>
          <w:tcPr>
            <w:tcW w:w="6301" w:type="dxa"/>
            <w:vAlign w:val="top"/>
          </w:tcPr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支持Anti-ARP-</w:t>
            </w:r>
            <w:r>
              <w:rPr>
                <w:rFonts w:hAnsi="宋体" w:asciiTheme="minorAscii"/>
                <w:color w:val="000000"/>
                <w:sz w:val="21"/>
                <w:szCs w:val="21"/>
              </w:rPr>
              <w:t>spoofing</w:t>
            </w:r>
            <w:r>
              <w:rPr>
                <w:rFonts w:hint="eastAsia" w:hAnsi="宋体" w:asciiTheme="minorAscii"/>
                <w:sz w:val="21"/>
                <w:szCs w:val="21"/>
              </w:rPr>
              <w:t>欺骗防护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支持Anti-ARP-flooding泛洪攻击自动抑制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支持IP Source Guard自动创建IP+MAC+端口+VLAN绑定表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支持Port Isolation硬件隔离各端口间的报文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支持MAC地址绑定到端口和端口MAC地址过滤</w:t>
            </w:r>
          </w:p>
          <w:p>
            <w:pPr>
              <w:pStyle w:val="17"/>
              <w:rPr>
                <w:rFonts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支持IEEE 802.1x和AAA/Radius的用户身份认证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eastAsia" w:hAnsi="宋体" w:asciiTheme="minorAscii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17"/>
              <w:jc w:val="center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设备安全</w:t>
            </w:r>
          </w:p>
        </w:tc>
        <w:tc>
          <w:tcPr>
            <w:tcW w:w="6301" w:type="dxa"/>
            <w:vAlign w:val="top"/>
          </w:tcPr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支持控制层上防止各种针对CPU的DOS攻击和病毒攻击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</w:t>
            </w:r>
            <w:r>
              <w:rPr>
                <w:rFonts w:hAnsi="宋体" w:asciiTheme="minorAscii"/>
                <w:sz w:val="21"/>
                <w:szCs w:val="21"/>
              </w:rPr>
              <w:t>SSHv2 Secure ShGLl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支持SNMP v3加密管理</w:t>
            </w:r>
          </w:p>
          <w:p>
            <w:pPr>
              <w:pStyle w:val="17"/>
              <w:rPr>
                <w:rFonts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支持Security IP的TGLnet的登录和口令机制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支持采用维护用户分级保护，防止未授权用户的非法侵入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eastAsia" w:hAnsi="宋体" w:asciiTheme="minorAscii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17"/>
              <w:jc w:val="center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网络安全</w:t>
            </w:r>
          </w:p>
        </w:tc>
        <w:tc>
          <w:tcPr>
            <w:tcW w:w="6301" w:type="dxa"/>
            <w:vAlign w:val="top"/>
          </w:tcPr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支持基于每用户MAC地址ARP流量检测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支持基于ARP流量检测的ARP报文抑制或者用户封杀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支持基于动态ARP表的一键绑定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支持IP地址、VLAN ID、MAC地址和端口等参数的手工绑定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支持自定义报文头部80字节深度的L2-L7 ACL流过滤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支持端口广播/多播报文抑制和危险端口自动关闭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支持URPF单播反向路径检查，防止IP地址仿冒和攻击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支持DHCP Option82和PPPoE+上传用户物理位置信息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支持OSPF、RIPv2 及BGPv4 报文的明文及MD5密文认证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pStyle w:val="17"/>
              <w:jc w:val="center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业务特性</w:t>
            </w:r>
          </w:p>
        </w:tc>
        <w:tc>
          <w:tcPr>
            <w:tcW w:w="1155" w:type="dxa"/>
            <w:vAlign w:val="center"/>
          </w:tcPr>
          <w:p>
            <w:pPr>
              <w:pStyle w:val="17"/>
              <w:jc w:val="center"/>
              <w:rPr>
                <w:rFonts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ACL</w:t>
            </w:r>
          </w:p>
        </w:tc>
        <w:tc>
          <w:tcPr>
            <w:tcW w:w="6301" w:type="dxa"/>
            <w:vAlign w:val="top"/>
          </w:tcPr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支持标准和扩展ACL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支持基于时间段(Time Range)ACL策略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提供基于源/目的MAC地址、VLAN、802</w:t>
            </w:r>
            <w:r>
              <w:rPr>
                <w:rFonts w:hAnsi="宋体" w:asciiTheme="minorAscii"/>
                <w:sz w:val="21"/>
                <w:szCs w:val="21"/>
              </w:rPr>
              <w:t>.1p</w:t>
            </w:r>
            <w:r>
              <w:rPr>
                <w:rFonts w:hint="eastAsia" w:hAnsi="宋体" w:asciiTheme="minorAscii"/>
                <w:sz w:val="21"/>
                <w:szCs w:val="21"/>
              </w:rPr>
              <w:t>、ToS、D</w:t>
            </w:r>
            <w:r>
              <w:rPr>
                <w:rFonts w:hAnsi="宋体" w:asciiTheme="minorAscii"/>
                <w:sz w:val="21"/>
                <w:szCs w:val="21"/>
              </w:rPr>
              <w:t>iffServ</w:t>
            </w:r>
            <w:r>
              <w:rPr>
                <w:rFonts w:hint="eastAsia" w:hAnsi="宋体" w:asciiTheme="minorAscii"/>
                <w:sz w:val="21"/>
                <w:szCs w:val="21"/>
              </w:rPr>
              <w:t>、源/目的IP(IPv4/IPv6)地址、TCP/UDP端口号、协议类型等IP报文头信息的流分类和流定义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支持L2～L7深入IP报文头部80字节的报文过滤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eastAsia" w:hAnsi="宋体" w:asciiTheme="minorAscii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17"/>
              <w:jc w:val="center"/>
              <w:rPr>
                <w:rFonts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QoS</w:t>
            </w:r>
          </w:p>
        </w:tc>
        <w:tc>
          <w:tcPr>
            <w:tcW w:w="6301" w:type="dxa"/>
            <w:vAlign w:val="top"/>
          </w:tcPr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支持对端口或者自定义流的接收和发送报文的速率进行限速，并提供对自定义流的普通流量监管和2Rate3color双速三色流量监管能力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支持CAR(</w:t>
            </w:r>
            <w:r>
              <w:rPr>
                <w:rFonts w:hAnsi="宋体" w:asciiTheme="minorAscii"/>
                <w:sz w:val="21"/>
                <w:szCs w:val="21"/>
              </w:rPr>
              <w:t>Committed Access Rate</w:t>
            </w:r>
            <w:r>
              <w:rPr>
                <w:rFonts w:hint="eastAsia" w:hAnsi="宋体" w:asciiTheme="minorAscii"/>
                <w:sz w:val="21"/>
                <w:szCs w:val="21"/>
              </w:rPr>
              <w:t>)、流量整形(</w:t>
            </w:r>
            <w:r>
              <w:rPr>
                <w:rFonts w:hAnsi="宋体" w:asciiTheme="minorAscii"/>
                <w:sz w:val="21"/>
                <w:szCs w:val="21"/>
              </w:rPr>
              <w:t>Traffic Shapping</w:t>
            </w:r>
            <w:r>
              <w:rPr>
                <w:rFonts w:hint="eastAsia" w:hAnsi="宋体" w:asciiTheme="minorAscii"/>
                <w:sz w:val="21"/>
                <w:szCs w:val="21"/>
              </w:rPr>
              <w:t>)和流量统计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支持对端口或者自定义流的报文镜像和报文重定向</w:t>
            </w:r>
          </w:p>
          <w:p>
            <w:pPr>
              <w:pStyle w:val="17"/>
              <w:rPr>
                <w:rFonts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支持对端口或者自定义流的优先级标记，并提供802.1P、DSCP优先级的Remark能力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支持基于端口或者自定义流的高级队列调度，每端口/流支持4个优先级队列，提供WRR、SP和FIFO队列调度算法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支持拥塞避免机制，包括Tail-Drop、WRED等功能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eastAsia" w:hAnsi="宋体" w:asciiTheme="minorAscii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17"/>
              <w:jc w:val="center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IPv6</w:t>
            </w:r>
          </w:p>
        </w:tc>
        <w:tc>
          <w:tcPr>
            <w:tcW w:w="6301" w:type="dxa"/>
            <w:vAlign w:val="top"/>
          </w:tcPr>
          <w:p>
            <w:pPr>
              <w:widowControl/>
              <w:jc w:val="left"/>
              <w:rPr>
                <w:rFonts w:hAnsi="宋体" w:cs="Arial" w:asciiTheme="minorAscii"/>
                <w:kern w:val="0"/>
                <w:sz w:val="21"/>
                <w:szCs w:val="21"/>
              </w:rPr>
            </w:pPr>
            <w:r>
              <w:rPr>
                <w:rFonts w:hint="eastAsia" w:hAnsi="宋体" w:cs="Arial" w:asciiTheme="minorAscii"/>
                <w:kern w:val="0"/>
                <w:sz w:val="21"/>
                <w:szCs w:val="21"/>
              </w:rPr>
              <w:t xml:space="preserve">支持SA/DA Classification      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支持MLD Snooping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eastAsia" w:hAnsi="宋体" w:asciiTheme="minorAscii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17"/>
              <w:jc w:val="center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组播</w:t>
            </w:r>
          </w:p>
        </w:tc>
        <w:tc>
          <w:tcPr>
            <w:tcW w:w="6301" w:type="dxa"/>
            <w:vAlign w:val="top"/>
          </w:tcPr>
          <w:p>
            <w:pPr>
              <w:pStyle w:val="17"/>
              <w:rPr>
                <w:rFonts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 xml:space="preserve">支持IGMPv1/v2/v3 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支持IGMPv1/v2/v3 Snooping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支持IGMP Filter组播过滤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支持MVR组播VLAN注册和跨VLAN组播复制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支持IGMP Fast leave快速离开组播组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支持IGMP Proxy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支持PIM-SM/PIM-DM/PIM-SSM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支持PIM-SMv6、PIM-DMv6、PIM-SSMv6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支持MLDv2/MLDv2 Snooping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pStyle w:val="17"/>
              <w:jc w:val="center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可靠特性</w:t>
            </w:r>
          </w:p>
        </w:tc>
        <w:tc>
          <w:tcPr>
            <w:tcW w:w="1155" w:type="dxa"/>
            <w:vAlign w:val="center"/>
          </w:tcPr>
          <w:p>
            <w:pPr>
              <w:pStyle w:val="17"/>
              <w:jc w:val="center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环路保护</w:t>
            </w:r>
          </w:p>
        </w:tc>
        <w:tc>
          <w:tcPr>
            <w:tcW w:w="6301" w:type="dxa"/>
            <w:vAlign w:val="top"/>
          </w:tcPr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支持EAPS和GERP增强以太网环网协议(环路愈合时间&lt;50ms)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支持Loopback-detection 端口环回检测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eastAsia" w:hAnsi="宋体" w:asciiTheme="minorAscii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17"/>
              <w:jc w:val="center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链路保护</w:t>
            </w:r>
          </w:p>
        </w:tc>
        <w:tc>
          <w:tcPr>
            <w:tcW w:w="6301" w:type="dxa"/>
            <w:vAlign w:val="center"/>
          </w:tcPr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支持FlexLink链路备份(链路愈合时间&lt;50ms)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支持RSTP/MSTP链路愈合硬件加速能力(环路愈合时间&lt;1s)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支持LACP动态链路汇聚(链路愈合时间&lt;10ms)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支持BFD链路侦测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eastAsia" w:hAnsi="宋体" w:asciiTheme="minorAscii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17"/>
              <w:jc w:val="center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设备保护</w:t>
            </w:r>
          </w:p>
        </w:tc>
        <w:tc>
          <w:tcPr>
            <w:tcW w:w="6301" w:type="dxa"/>
            <w:vAlign w:val="top"/>
          </w:tcPr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 VRRP主机备份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支持1+1电源热备份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pStyle w:val="17"/>
              <w:jc w:val="center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维护特性</w:t>
            </w:r>
          </w:p>
        </w:tc>
        <w:tc>
          <w:tcPr>
            <w:tcW w:w="1155" w:type="dxa"/>
            <w:vAlign w:val="center"/>
          </w:tcPr>
          <w:p>
            <w:pPr>
              <w:pStyle w:val="17"/>
              <w:jc w:val="center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网络维护</w:t>
            </w:r>
          </w:p>
        </w:tc>
        <w:tc>
          <w:tcPr>
            <w:tcW w:w="6301" w:type="dxa"/>
            <w:vAlign w:val="top"/>
          </w:tcPr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支持基于TGLnet的端口实时流量、利用率和收发包统计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支持RFC3176 sFlow流量分析，可以实现基于协议或地址的流量监控和统计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支持LLDP邻居设备发现协议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支持OAM、OMCI、TR069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支持数据日志和</w:t>
            </w:r>
            <w:r>
              <w:rPr>
                <w:rFonts w:hAnsi="宋体" w:asciiTheme="minorAscii"/>
                <w:sz w:val="21"/>
                <w:szCs w:val="21"/>
              </w:rPr>
              <w:t>RFC 3164 BSD syslog Protocol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支持Ping和Traceroute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eastAsia" w:hAnsi="宋体" w:asciiTheme="minorAscii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17"/>
              <w:jc w:val="center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设备管理</w:t>
            </w:r>
          </w:p>
        </w:tc>
        <w:tc>
          <w:tcPr>
            <w:tcW w:w="6301" w:type="dxa"/>
            <w:vAlign w:val="top"/>
          </w:tcPr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支持命令行接口(CLI)、Console口、TGLnet和WEB配置管理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支持SNMPv1/v2/v3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支持RMON (Remote Monitoring)1,2,3,9组MIB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支持NTP网络时间协议</w:t>
            </w:r>
          </w:p>
          <w:p>
            <w:pPr>
              <w:pStyle w:val="17"/>
              <w:rPr>
                <w:rFonts w:hint="eastAsia" w:hAnsi="宋体" w:asciiTheme="minorAscii"/>
                <w:sz w:val="21"/>
                <w:szCs w:val="21"/>
              </w:rPr>
            </w:pPr>
            <w:r>
              <w:rPr>
                <w:rFonts w:hint="eastAsia" w:hAnsi="宋体" w:asciiTheme="minorAscii"/>
                <w:sz w:val="21"/>
                <w:szCs w:val="21"/>
              </w:rPr>
              <w:t>支持NGBNView网管系统</w:t>
            </w:r>
          </w:p>
        </w:tc>
      </w:tr>
    </w:tbl>
    <w:p>
      <w:pPr>
        <w:spacing w:line="360" w:lineRule="auto"/>
        <w:rPr>
          <w:rFonts w:hint="eastAsia" w:ascii="Arial" w:hAnsi="Arial" w:cs="Arial"/>
          <w:b/>
          <w:sz w:val="24"/>
          <w:szCs w:val="24"/>
        </w:rPr>
      </w:pPr>
    </w:p>
    <w:p>
      <w:pPr>
        <w:spacing w:line="360" w:lineRule="auto"/>
        <w:rPr>
          <w:rFonts w:hint="eastAsia" w:ascii="Arial" w:hAnsi="Arial" w:cs="Arial"/>
          <w:b/>
          <w:sz w:val="24"/>
          <w:szCs w:val="24"/>
        </w:rPr>
      </w:pPr>
    </w:p>
    <w:p>
      <w:pPr>
        <w:spacing w:line="360" w:lineRule="auto"/>
        <w:rPr>
          <w:rFonts w:hint="eastAsia" w:ascii="Arial" w:hAnsi="Arial" w:cs="Arial"/>
          <w:b/>
          <w:sz w:val="24"/>
          <w:szCs w:val="24"/>
        </w:rPr>
      </w:pPr>
    </w:p>
    <w:p>
      <w:pPr>
        <w:spacing w:line="360" w:lineRule="auto"/>
        <w:rPr>
          <w:rFonts w:hint="eastAsia" w:ascii="Arial" w:hAnsi="Arial" w:cs="Arial"/>
          <w:b/>
          <w:sz w:val="24"/>
          <w:szCs w:val="24"/>
        </w:rPr>
      </w:pPr>
    </w:p>
    <w:p>
      <w:pPr>
        <w:spacing w:line="360" w:lineRule="auto"/>
        <w:rPr>
          <w:rFonts w:hint="eastAsia" w:ascii="Arial" w:hAnsi="Arial" w:cs="Arial"/>
          <w:b/>
          <w:sz w:val="24"/>
          <w:szCs w:val="24"/>
        </w:rPr>
      </w:pPr>
      <w:bookmarkStart w:id="0" w:name="_GoBack"/>
      <w:bookmarkEnd w:id="0"/>
    </w:p>
    <w:p>
      <w:pPr>
        <w:spacing w:line="360" w:lineRule="auto"/>
        <w:rPr>
          <w:rFonts w:hint="eastAsia" w:ascii="Arial" w:hAnsi="Arial" w:cs="Arial"/>
          <w:b/>
          <w:sz w:val="24"/>
          <w:szCs w:val="24"/>
        </w:rPr>
      </w:pPr>
    </w:p>
    <w:p>
      <w:pPr>
        <w:spacing w:line="360" w:lineRule="auto"/>
        <w:rPr>
          <w:rFonts w:hint="eastAsia" w:ascii="Arial" w:hAnsi="Arial" w:cs="Arial"/>
          <w:b/>
          <w:sz w:val="24"/>
          <w:szCs w:val="24"/>
        </w:rPr>
      </w:pPr>
    </w:p>
    <w:p>
      <w:pPr>
        <w:spacing w:line="360" w:lineRule="auto"/>
        <w:rPr>
          <w:rFonts w:hint="eastAsia" w:ascii="Arial" w:hAnsi="Arial" w:cs="Arial"/>
          <w:b/>
          <w:sz w:val="24"/>
          <w:szCs w:val="24"/>
        </w:rPr>
      </w:pPr>
    </w:p>
    <w:p>
      <w:pPr>
        <w:spacing w:line="360" w:lineRule="auto"/>
        <w:rPr>
          <w:rFonts w:hint="eastAsia" w:ascii="Arial" w:hAnsi="Arial" w:cs="Arial"/>
          <w:b/>
          <w:sz w:val="24"/>
          <w:szCs w:val="24"/>
        </w:rPr>
      </w:pPr>
    </w:p>
    <w:p>
      <w:pPr>
        <w:spacing w:line="360" w:lineRule="auto"/>
        <w:rPr>
          <w:rFonts w:hint="eastAsia" w:ascii="Arial" w:hAnsi="Arial" w:cs="Arial"/>
          <w:b/>
          <w:sz w:val="24"/>
          <w:szCs w:val="24"/>
        </w:rPr>
      </w:pPr>
    </w:p>
    <w:p>
      <w:pPr>
        <w:spacing w:line="360" w:lineRule="auto"/>
        <w:rPr>
          <w:rFonts w:hint="eastAsia" w:ascii="Arial" w:hAnsi="Arial" w:cs="Arial"/>
          <w:b/>
          <w:sz w:val="24"/>
          <w:szCs w:val="24"/>
        </w:rPr>
      </w:pPr>
    </w:p>
    <w:p>
      <w:pPr>
        <w:spacing w:line="360" w:lineRule="auto"/>
        <w:rPr>
          <w:rFonts w:hint="eastAsia" w:ascii="Arial" w:hAnsi="Arial" w:cs="Arial"/>
          <w:b/>
          <w:sz w:val="24"/>
          <w:szCs w:val="24"/>
        </w:rPr>
      </w:pPr>
    </w:p>
    <w:p>
      <w:pPr>
        <w:spacing w:line="360" w:lineRule="auto"/>
        <w:rPr>
          <w:rFonts w:hint="eastAsia" w:ascii="Arial" w:hAnsi="Arial" w:cs="Arial"/>
          <w:b/>
          <w:sz w:val="24"/>
          <w:szCs w:val="24"/>
        </w:rPr>
      </w:pPr>
    </w:p>
    <w:p>
      <w:pPr>
        <w:spacing w:line="360" w:lineRule="auto"/>
        <w:rPr>
          <w:rFonts w:hint="eastAsia" w:ascii="Arial" w:hAnsi="Arial" w:cs="Arial"/>
          <w:b/>
          <w:sz w:val="24"/>
          <w:szCs w:val="24"/>
        </w:rPr>
      </w:pPr>
    </w:p>
    <w:p>
      <w:pPr>
        <w:spacing w:line="360" w:lineRule="auto"/>
        <w:rPr>
          <w:rFonts w:hint="eastAsia" w:ascii="Arial" w:hAnsi="Arial" w:cs="Arial"/>
          <w:b/>
          <w:sz w:val="24"/>
          <w:szCs w:val="24"/>
        </w:rPr>
      </w:pPr>
    </w:p>
    <w:p>
      <w:pPr>
        <w:spacing w:line="360" w:lineRule="auto"/>
        <w:rPr>
          <w:rFonts w:hint="eastAsia" w:ascii="Arial" w:hAnsi="Arial" w:cs="Arial"/>
          <w:b/>
          <w:sz w:val="24"/>
          <w:szCs w:val="24"/>
        </w:rPr>
      </w:pPr>
    </w:p>
    <w:p>
      <w:pPr>
        <w:rPr>
          <w:rStyle w:val="9"/>
          <w:rFonts w:hint="eastAsia"/>
          <w:sz w:val="15"/>
          <w:szCs w:val="15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6610350" cy="76200"/>
                <wp:effectExtent l="6350" t="6350" r="12700" b="12700"/>
                <wp:wrapNone/>
                <wp:docPr id="10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76200"/>
                        </a:xfrm>
                        <a:prstGeom prst="flowChartProcess">
                          <a:avLst/>
                        </a:prstGeom>
                        <a:solidFill>
                          <a:srgbClr val="18388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0pt;margin-top:10.8pt;height:6pt;width:520.5pt;z-index:251682816;v-text-anchor:middle;mso-width-relative:page;mso-height-relative:page;" fillcolor="#183884" filled="t" stroked="t" coordsize="21600,21600" o:gfxdata="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AcHhNLWAAAABwEAAA8AAAAAAAAAAQAgAAAAIgAA&#10;AGRycy9kb3ducmV2LnhtbFBLAQIUABQAAAAIAIdO4kCEbm6LfAIAAN8EAAAOAAAAAAAAAAEAIAAA&#10;ACUBAABkcnMvZTJvRG9jLnhtbFBLBQYAAAAABgAGAFkBAAATBgAAAAA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Style w:val="9"/>
          <w:rFonts w:hint="eastAsia"/>
          <w:sz w:val="15"/>
          <w:szCs w:val="15"/>
          <w:lang w:val="en-US" w:eastAsia="zh-CN"/>
        </w:rPr>
      </w:pPr>
      <w:r>
        <w:rPr>
          <w:rStyle w:val="9"/>
          <w:rFonts w:hint="eastAsia"/>
          <w:sz w:val="15"/>
          <w:szCs w:val="15"/>
          <w:lang w:val="en-US" w:eastAsia="zh-CN"/>
        </w:rPr>
        <w:t>网址：</w:t>
      </w:r>
      <w:r>
        <w:rPr>
          <w:rStyle w:val="9"/>
          <w:rFonts w:hint="eastAsia"/>
          <w:sz w:val="15"/>
          <w:szCs w:val="15"/>
          <w:lang w:val="en-US" w:eastAsia="zh-CN"/>
        </w:rPr>
        <w:fldChar w:fldCharType="begin"/>
      </w:r>
      <w:r>
        <w:rPr>
          <w:rStyle w:val="9"/>
          <w:rFonts w:hint="eastAsia"/>
          <w:sz w:val="15"/>
          <w:szCs w:val="15"/>
          <w:lang w:val="en-US" w:eastAsia="zh-CN"/>
        </w:rPr>
        <w:instrText xml:space="preserve"> HYPERLINK "http://www.gl-com.com" </w:instrText>
      </w:r>
      <w:r>
        <w:rPr>
          <w:rStyle w:val="9"/>
          <w:rFonts w:hint="eastAsia"/>
          <w:sz w:val="15"/>
          <w:szCs w:val="15"/>
          <w:lang w:val="en-US" w:eastAsia="zh-CN"/>
        </w:rPr>
        <w:fldChar w:fldCharType="separate"/>
      </w:r>
      <w:r>
        <w:rPr>
          <w:rStyle w:val="9"/>
          <w:rFonts w:hint="eastAsia"/>
          <w:sz w:val="15"/>
          <w:szCs w:val="15"/>
          <w:lang w:val="en-US" w:eastAsia="zh-CN"/>
        </w:rPr>
        <w:t>www.gl-com.com</w:t>
      </w:r>
      <w:r>
        <w:rPr>
          <w:rStyle w:val="9"/>
          <w:rFonts w:hint="eastAsia"/>
          <w:sz w:val="15"/>
          <w:szCs w:val="15"/>
          <w:lang w:val="en-US" w:eastAsia="zh-CN"/>
        </w:rPr>
        <w:fldChar w:fldCharType="end"/>
      </w:r>
      <w:r>
        <w:rPr>
          <w:rStyle w:val="9"/>
          <w:rFonts w:hint="eastAsia"/>
          <w:sz w:val="15"/>
          <w:szCs w:val="15"/>
          <w:lang w:val="en-US" w:eastAsia="zh-CN"/>
        </w:rPr>
        <w:t>.cn                                                            电话：</w:t>
      </w:r>
      <w:r>
        <w:rPr>
          <w:rStyle w:val="9"/>
          <w:sz w:val="15"/>
          <w:szCs w:val="15"/>
        </w:rPr>
        <w:t>+86 755 8419 3000</w:t>
      </w:r>
    </w:p>
    <w:p>
      <w:pPr>
        <w:rPr>
          <w:rStyle w:val="9"/>
          <w:rFonts w:hint="eastAsia"/>
          <w:sz w:val="15"/>
          <w:szCs w:val="15"/>
          <w:lang w:eastAsia="zh-CN"/>
        </w:rPr>
      </w:pPr>
      <w:r>
        <w:rPr>
          <w:rStyle w:val="9"/>
          <w:rFonts w:hint="eastAsia"/>
          <w:sz w:val="15"/>
          <w:szCs w:val="15"/>
          <w:lang w:val="en-US" w:eastAsia="zh-CN"/>
        </w:rPr>
        <w:t>地址：</w:t>
      </w:r>
      <w:r>
        <w:rPr>
          <w:rStyle w:val="9"/>
          <w:sz w:val="15"/>
          <w:szCs w:val="15"/>
        </w:rPr>
        <w:t>深圳市龙岗区龙城街道吉祥社区彩云一路2号4楼（鑫潮工业园）</w:t>
      </w:r>
      <w:r>
        <w:rPr>
          <w:rStyle w:val="9"/>
          <w:rFonts w:hint="eastAsia"/>
          <w:sz w:val="15"/>
          <w:szCs w:val="15"/>
          <w:lang w:val="en-US" w:eastAsia="zh-CN"/>
        </w:rPr>
        <w:t xml:space="preserve">                   传真：</w:t>
      </w:r>
      <w:r>
        <w:rPr>
          <w:rStyle w:val="9"/>
          <w:sz w:val="15"/>
          <w:szCs w:val="15"/>
        </w:rPr>
        <w:t>+86755 8419 3093</w:t>
      </w: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rStyle w:val="9"/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sz w:val="21"/>
        </w:rPr>
        <w:drawing>
          <wp:inline distT="0" distB="0" distL="114300" distR="114300">
            <wp:extent cx="6589395" cy="520700"/>
            <wp:effectExtent l="0" t="0" r="1905" b="12700"/>
            <wp:docPr id="5" name="图片 5" descr="页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页头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939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Style w:val="9"/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rPr>
          <w:rStyle w:val="9"/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widowControl/>
        <w:spacing w:line="320" w:lineRule="exact"/>
        <w:jc w:val="left"/>
        <w:rPr>
          <w:rFonts w:hint="eastAsia" w:ascii="???" w:hAnsi="???" w:cs="宋体"/>
          <w:b/>
          <w:kern w:val="0"/>
          <w:sz w:val="24"/>
          <w:szCs w:val="24"/>
        </w:rPr>
      </w:pPr>
      <w:r>
        <w:rPr>
          <w:rFonts w:hint="eastAsia" w:ascii="???" w:hAnsi="???" w:cs="宋体"/>
          <w:b/>
          <w:kern w:val="0"/>
          <w:sz w:val="24"/>
          <w:szCs w:val="24"/>
        </w:rPr>
        <w:t>应用方案：</w:t>
      </w:r>
      <w:r>
        <w:rPr>
          <w:rFonts w:hint="eastAsia" w:ascii="???" w:hAnsi="???" w:cs="宋体"/>
          <w:b/>
          <w:kern w:val="0"/>
          <w:sz w:val="24"/>
          <w:szCs w:val="24"/>
          <w:lang w:val="en-US" w:eastAsia="zh-CN"/>
        </w:rPr>
        <w:t>FTTX</w:t>
      </w:r>
    </w:p>
    <w:p>
      <w:pPr>
        <w:rPr>
          <w:rStyle w:val="9"/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rPr>
          <w:rStyle w:val="9"/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rPr>
          <w:rStyle w:val="9"/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rPr>
          <w:rStyle w:val="9"/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rPr>
          <w:rStyle w:val="9"/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jc w:val="center"/>
        <w:rPr>
          <w:rStyle w:val="9"/>
          <w:rFonts w:hint="eastAsia"/>
          <w:sz w:val="15"/>
          <w:szCs w:val="15"/>
          <w:lang w:val="en-US" w:eastAsia="zh-CN"/>
        </w:rPr>
      </w:pPr>
      <w:r>
        <w:rPr>
          <w:rStyle w:val="9"/>
          <w:rFonts w:hint="eastAsia"/>
          <w:sz w:val="15"/>
          <w:szCs w:val="15"/>
          <w:lang w:val="en-US" w:eastAsia="zh-CN"/>
        </w:rPr>
        <w:drawing>
          <wp:inline distT="0" distB="0" distL="114300" distR="114300">
            <wp:extent cx="6031865" cy="4411345"/>
            <wp:effectExtent l="0" t="0" r="6985" b="8255"/>
            <wp:docPr id="1" name="图片 1" descr="C:\Users\Administrator\Desktop\应用方案.png应用方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应用方案.png应用方案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1865" cy="441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Style w:val="9"/>
          <w:rFonts w:hint="eastAsia"/>
          <w:sz w:val="15"/>
          <w:szCs w:val="15"/>
          <w:lang w:val="en-US" w:eastAsia="zh-CN"/>
        </w:rPr>
      </w:pPr>
    </w:p>
    <w:p>
      <w:pPr>
        <w:rPr>
          <w:rStyle w:val="9"/>
          <w:rFonts w:hint="eastAsia"/>
          <w:sz w:val="15"/>
          <w:szCs w:val="15"/>
          <w:lang w:val="en-US" w:eastAsia="zh-CN"/>
        </w:rPr>
      </w:pPr>
    </w:p>
    <w:p>
      <w:pPr>
        <w:rPr>
          <w:rStyle w:val="9"/>
          <w:rFonts w:hint="eastAsia"/>
          <w:sz w:val="15"/>
          <w:szCs w:val="15"/>
          <w:lang w:val="en-US" w:eastAsia="zh-CN"/>
        </w:rPr>
      </w:pPr>
    </w:p>
    <w:p>
      <w:pPr>
        <w:rPr>
          <w:rStyle w:val="9"/>
          <w:rFonts w:hint="eastAsia"/>
          <w:sz w:val="15"/>
          <w:szCs w:val="15"/>
          <w:lang w:val="en-US" w:eastAsia="zh-CN"/>
        </w:rPr>
      </w:pPr>
    </w:p>
    <w:p>
      <w:pPr>
        <w:rPr>
          <w:rStyle w:val="9"/>
          <w:rFonts w:hint="eastAsia"/>
          <w:sz w:val="15"/>
          <w:szCs w:val="15"/>
          <w:lang w:val="en-US" w:eastAsia="zh-CN"/>
        </w:rPr>
      </w:pPr>
    </w:p>
    <w:p>
      <w:pPr>
        <w:rPr>
          <w:rStyle w:val="9"/>
          <w:rFonts w:hint="eastAsia"/>
          <w:sz w:val="15"/>
          <w:szCs w:val="15"/>
          <w:lang w:val="en-US" w:eastAsia="zh-CN"/>
        </w:rPr>
      </w:pPr>
    </w:p>
    <w:p>
      <w:pPr>
        <w:rPr>
          <w:rStyle w:val="9"/>
          <w:rFonts w:hint="eastAsia"/>
          <w:sz w:val="15"/>
          <w:szCs w:val="15"/>
          <w:lang w:val="en-US" w:eastAsia="zh-CN"/>
        </w:rPr>
      </w:pPr>
    </w:p>
    <w:p>
      <w:pPr>
        <w:rPr>
          <w:rStyle w:val="9"/>
          <w:rFonts w:hint="eastAsia"/>
          <w:sz w:val="15"/>
          <w:szCs w:val="15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427355</wp:posOffset>
                </wp:positionV>
                <wp:extent cx="6610350" cy="76200"/>
                <wp:effectExtent l="6350" t="6350" r="12700" b="12700"/>
                <wp:wrapNone/>
                <wp:docPr id="20" name="流程图: 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76200"/>
                        </a:xfrm>
                        <a:prstGeom prst="flowChartProcess">
                          <a:avLst/>
                        </a:prstGeom>
                        <a:solidFill>
                          <a:srgbClr val="18388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0pt;margin-top:33.65pt;height:6pt;width:520.5pt;z-index:251669504;v-text-anchor:middle;mso-width-relative:page;mso-height-relative:page;" fillcolor="#183884" filled="t" stroked="t" coordsize="21600,21600" o:gfxdata="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zR8Q91gAAAAcBAAAPAAAAAAAAAAEAIAAAACIA&#10;AABkcnMvZG93bnJldi54bWxQSwECFAAUAAAACACHTuJAczrZzn0CAADfBAAADgAAAAAAAAABACAA&#10;AAAlAQAAZHJzL2Uyb0RvYy54bWxQSwUGAAAAAAYABgBZAQAAFAYAAAAA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Style w:val="9"/>
          <w:rFonts w:hint="eastAsia"/>
          <w:sz w:val="15"/>
          <w:szCs w:val="15"/>
          <w:lang w:val="en-US" w:eastAsia="zh-CN"/>
        </w:rPr>
      </w:pPr>
    </w:p>
    <w:p>
      <w:pPr>
        <w:rPr>
          <w:rStyle w:val="9"/>
          <w:rFonts w:hint="eastAsia"/>
          <w:sz w:val="15"/>
          <w:szCs w:val="15"/>
          <w:lang w:val="en-US" w:eastAsia="zh-CN"/>
        </w:rPr>
      </w:pPr>
    </w:p>
    <w:p>
      <w:pPr>
        <w:rPr>
          <w:rStyle w:val="9"/>
          <w:rFonts w:hint="eastAsia"/>
          <w:sz w:val="15"/>
          <w:szCs w:val="15"/>
          <w:lang w:val="en-US" w:eastAsia="zh-CN"/>
        </w:rPr>
      </w:pPr>
      <w:r>
        <w:rPr>
          <w:rStyle w:val="9"/>
          <w:rFonts w:hint="eastAsia"/>
          <w:sz w:val="15"/>
          <w:szCs w:val="15"/>
          <w:lang w:val="en-US" w:eastAsia="zh-CN"/>
        </w:rPr>
        <w:t>网址：</w:t>
      </w:r>
      <w:r>
        <w:rPr>
          <w:rStyle w:val="9"/>
          <w:rFonts w:hint="eastAsia"/>
          <w:sz w:val="15"/>
          <w:szCs w:val="15"/>
          <w:lang w:val="en-US" w:eastAsia="zh-CN"/>
        </w:rPr>
        <w:fldChar w:fldCharType="begin"/>
      </w:r>
      <w:r>
        <w:rPr>
          <w:rStyle w:val="9"/>
          <w:rFonts w:hint="eastAsia"/>
          <w:sz w:val="15"/>
          <w:szCs w:val="15"/>
          <w:lang w:val="en-US" w:eastAsia="zh-CN"/>
        </w:rPr>
        <w:instrText xml:space="preserve"> HYPERLINK "http://www.gl-com.com" </w:instrText>
      </w:r>
      <w:r>
        <w:rPr>
          <w:rStyle w:val="9"/>
          <w:rFonts w:hint="eastAsia"/>
          <w:sz w:val="15"/>
          <w:szCs w:val="15"/>
          <w:lang w:val="en-US" w:eastAsia="zh-CN"/>
        </w:rPr>
        <w:fldChar w:fldCharType="separate"/>
      </w:r>
      <w:r>
        <w:rPr>
          <w:rStyle w:val="9"/>
          <w:rFonts w:hint="eastAsia"/>
          <w:sz w:val="15"/>
          <w:szCs w:val="15"/>
          <w:lang w:val="en-US" w:eastAsia="zh-CN"/>
        </w:rPr>
        <w:t>www.gl-com.com</w:t>
      </w:r>
      <w:r>
        <w:rPr>
          <w:rStyle w:val="9"/>
          <w:rFonts w:hint="eastAsia"/>
          <w:sz w:val="15"/>
          <w:szCs w:val="15"/>
          <w:lang w:val="en-US" w:eastAsia="zh-CN"/>
        </w:rPr>
        <w:fldChar w:fldCharType="end"/>
      </w:r>
      <w:r>
        <w:rPr>
          <w:rStyle w:val="9"/>
          <w:rFonts w:hint="eastAsia"/>
          <w:sz w:val="15"/>
          <w:szCs w:val="15"/>
          <w:lang w:val="en-US" w:eastAsia="zh-CN"/>
        </w:rPr>
        <w:t>.cn                                                            电话：</w:t>
      </w:r>
      <w:r>
        <w:rPr>
          <w:rStyle w:val="9"/>
          <w:sz w:val="15"/>
          <w:szCs w:val="15"/>
        </w:rPr>
        <w:t>+86 755 8419 3000</w:t>
      </w:r>
    </w:p>
    <w:p>
      <w:pPr>
        <w:rPr>
          <w:rFonts w:hint="eastAsia"/>
          <w:sz w:val="21"/>
          <w:lang w:eastAsia="zh-CN"/>
        </w:rPr>
      </w:pPr>
      <w:r>
        <w:rPr>
          <w:rStyle w:val="9"/>
          <w:rFonts w:hint="eastAsia"/>
          <w:sz w:val="15"/>
          <w:szCs w:val="15"/>
          <w:lang w:val="en-US" w:eastAsia="zh-CN"/>
        </w:rPr>
        <w:t>地址：</w:t>
      </w:r>
      <w:r>
        <w:rPr>
          <w:rStyle w:val="9"/>
          <w:sz w:val="15"/>
          <w:szCs w:val="15"/>
        </w:rPr>
        <w:t>深圳市龙岗区龙城街道吉祥社区彩云一路2号4楼（鑫潮工业园）</w:t>
      </w:r>
      <w:r>
        <w:rPr>
          <w:rStyle w:val="9"/>
          <w:rFonts w:hint="eastAsia"/>
          <w:sz w:val="15"/>
          <w:szCs w:val="15"/>
          <w:lang w:val="en-US" w:eastAsia="zh-CN"/>
        </w:rPr>
        <w:t xml:space="preserve">                   传真：</w:t>
      </w:r>
      <w:r>
        <w:rPr>
          <w:rStyle w:val="9"/>
          <w:sz w:val="15"/>
          <w:szCs w:val="15"/>
        </w:rPr>
        <w:t>+86755 8419 3093</w: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5974715</wp:posOffset>
                </wp:positionV>
                <wp:extent cx="6610350" cy="76200"/>
                <wp:effectExtent l="6350" t="6350" r="12700" b="12700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76200"/>
                        </a:xfrm>
                        <a:prstGeom prst="flowChartProcess">
                          <a:avLst/>
                        </a:prstGeom>
                        <a:solidFill>
                          <a:srgbClr val="18388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0pt;margin-top:470.45pt;height:6pt;width:520.5pt;z-index:251667456;v-text-anchor:middle;mso-width-relative:page;mso-height-relative:page;" fillcolor="#183884" filled="t" stroked="t" coordsize="21600,21600" o:gfxdata="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PFmq01wAAAAkBAAAPAAAAAAAAAAEAIAAAACIA&#10;AABkcnMvZG93bnJldi54bWxQSwECFAAUAAAACACHTuJApUIAhHwCAADdBAAADgAAAAAAAAABACAA&#10;AAAmAQAAZHJzL2Uyb0RvYy54bWxQSwUGAAAAAAYABgBZAQAAFAYAAAAA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footerReference r:id="rId3" w:type="default"/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?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FMincho-UB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Medium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odoni Bd BT">
    <w:altName w:val="Segoe Print"/>
    <w:panose1 w:val="02070803080706020303"/>
    <w:charset w:val="00"/>
    <w:family w:val="auto"/>
    <w:pitch w:val="default"/>
    <w:sig w:usb0="00000000" w:usb1="00000000" w:usb2="00000000" w:usb3="00000000" w:csb0="00000011" w:csb1="00000000"/>
  </w:font>
  <w:font w:name="Bodoni Bk BT">
    <w:altName w:val="Segoe Print"/>
    <w:panose1 w:val="02070603070706020303"/>
    <w:charset w:val="00"/>
    <w:family w:val="auto"/>
    <w:pitch w:val="default"/>
    <w:sig w:usb0="00000000" w:usb1="00000000" w:usb2="00000000" w:usb3="00000000" w:csb0="0000001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ＤＦ中太楷書体">
    <w:altName w:val="宋体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ＤＦ明朝体W5">
    <w:altName w:val="MS UI Gothic"/>
    <w:panose1 w:val="02010609010101010101"/>
    <w:charset w:val="80"/>
    <w:family w:val="auto"/>
    <w:pitch w:val="default"/>
    <w:sig w:usb0="00000000" w:usb1="00000000" w:usb2="00000010" w:usb3="00000000" w:csb0="00020001" w:csb1="00000000"/>
  </w:font>
  <w:font w:name="DFGothic-EB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DFMincho-SU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DFPOP1-W9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JhengHei U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quare721 BT">
    <w:altName w:val="Segoe Script"/>
    <w:panose1 w:val="020B0504020202060204"/>
    <w:charset w:val="00"/>
    <w:family w:val="auto"/>
    <w:pitch w:val="default"/>
    <w:sig w:usb0="00000000" w:usb1="00000000" w:usb2="00000000" w:usb3="00000000" w:csb0="00000011" w:csb1="00000000"/>
  </w:font>
  <w:font w:name="Square721 Cn BT">
    <w:altName w:val="Segoe Print"/>
    <w:panose1 w:val="020B0406020202050204"/>
    <w:charset w:val="00"/>
    <w:family w:val="auto"/>
    <w:pitch w:val="default"/>
    <w:sig w:usb0="00000000" w:usb1="00000000" w:usb2="00000000" w:usb3="00000000" w:csb0="00000011" w:csb1="00000000"/>
  </w:font>
  <w:font w:name="Swis721 Blk BT">
    <w:altName w:val="Segoe Print"/>
    <w:panose1 w:val="020B0904030502020204"/>
    <w:charset w:val="00"/>
    <w:family w:val="auto"/>
    <w:pitch w:val="default"/>
    <w:sig w:usb0="00000000" w:usb1="00000000" w:usb2="00000000" w:usb3="00000000" w:csb0="00000011" w:csb1="00000000"/>
  </w:font>
  <w:font w:name="Swis721 BlkCn BT">
    <w:altName w:val="Segoe Print"/>
    <w:panose1 w:val="020B0806030502040204"/>
    <w:charset w:val="00"/>
    <w:family w:val="auto"/>
    <w:pitch w:val="default"/>
    <w:sig w:usb0="00000000" w:usb1="00000000" w:usb2="00000000" w:usb3="00000000" w:csb0="00000011" w:csb1="00000000"/>
  </w:font>
  <w:font w:name="Swis721 BT">
    <w:altName w:val="Segoe Script"/>
    <w:panose1 w:val="020B0504020202020204"/>
    <w:charset w:val="00"/>
    <w:family w:val="auto"/>
    <w:pitch w:val="default"/>
    <w:sig w:usb0="00000000" w:usb1="00000000" w:usb2="00000000" w:usb3="00000000" w:csb0="00000011" w:csb1="00000000"/>
  </w:font>
  <w:font w:name="Swis721 Cn BT">
    <w:altName w:val="Segoe Print"/>
    <w:panose1 w:val="020B0506020202030204"/>
    <w:charset w:val="00"/>
    <w:family w:val="auto"/>
    <w:pitch w:val="default"/>
    <w:sig w:usb0="00000000" w:usb1="00000000" w:usb2="00000000" w:usb3="00000000" w:csb0="00000011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Arial Rounded MT Bold">
    <w:altName w:val="Calibri"/>
    <w:panose1 w:val="020F0704030504030204"/>
    <w:charset w:val="00"/>
    <w:family w:val="swiss"/>
    <w:pitch w:val="default"/>
    <w:sig w:usb0="00000000" w:usb1="00000000" w:usb2="00000000" w:usb3="00000000" w:csb0="00000001" w:csb1="00000000"/>
  </w:font>
  <w:font w:name="FQFJUR+??¨¬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 w:tentative="0">
      <w:start w:val="1"/>
      <w:numFmt w:val="none"/>
      <w:suff w:val="nothing"/>
      <w:lvlText w:val=""/>
      <w:lvlJc w:val="center"/>
      <w:pPr>
        <w:ind w:left="0" w:firstLine="0"/>
      </w:pPr>
      <w:rPr>
        <w:rFonts w:hint="default" w:ascii="Arial" w:hAnsi="Arial"/>
        <w:b/>
        <w:i w:val="0"/>
        <w:caps w:val="0"/>
        <w:strike w:val="0"/>
        <w:dstrike w:val="0"/>
        <w:vanish w:val="0"/>
        <w:sz w:val="36"/>
        <w:vertAlign w:val="baseline"/>
      </w:rPr>
    </w:lvl>
    <w:lvl w:ilvl="1" w:tentative="0">
      <w:start w:val="1"/>
      <w:numFmt w:val="decimal"/>
      <w:suff w:val="nothing"/>
      <w:lvlText w:val="%1%2  "/>
      <w:lvlJc w:val="left"/>
      <w:pPr>
        <w:ind w:left="0" w:firstLine="0"/>
      </w:pPr>
      <w:rPr>
        <w:rFonts w:hint="default" w:ascii="Arial" w:hAnsi="Arial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2" w:tentative="0">
      <w:start w:val="1"/>
      <w:numFmt w:val="decimal"/>
      <w:suff w:val="nothing"/>
      <w:lvlText w:val="%1%2.%3  "/>
      <w:lvlJc w:val="left"/>
      <w:pPr>
        <w:ind w:left="0" w:firstLine="0"/>
      </w:pPr>
      <w:rPr>
        <w:rFonts w:hint="default" w:ascii="Arial" w:hAnsi="Arial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 w:tentative="0">
      <w:start w:val="1"/>
      <w:numFmt w:val="decimal"/>
      <w:suff w:val="nothing"/>
      <w:lvlText w:val="%4. "/>
      <w:lvlJc w:val="left"/>
      <w:pPr>
        <w:ind w:left="1701" w:firstLine="0"/>
      </w:pPr>
      <w:rPr>
        <w:rFonts w:hint="default" w:ascii="Arial" w:hAnsi="Arial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4" w:tentative="0">
      <w:start w:val="1"/>
      <w:numFmt w:val="decimal"/>
      <w:lvlRestart w:val="0"/>
      <w:suff w:val="space"/>
      <w:lvlText w:val="图%1%5"/>
      <w:lvlJc w:val="center"/>
      <w:pPr>
        <w:ind w:left="1701" w:firstLine="0"/>
      </w:pPr>
      <w:rPr>
        <w:rFonts w:hint="default" w:ascii="Arial" w:hAnsi="Arial"/>
      </w:rPr>
    </w:lvl>
    <w:lvl w:ilvl="5" w:tentative="0">
      <w:start w:val="1"/>
      <w:numFmt w:val="decimal"/>
      <w:lvlRestart w:val="0"/>
      <w:suff w:val="space"/>
      <w:lvlText w:val="表%1%6"/>
      <w:lvlJc w:val="center"/>
      <w:pPr>
        <w:ind w:left="1701" w:firstLine="0"/>
      </w:pPr>
      <w:rPr>
        <w:rFonts w:hint="default" w:ascii="Arial" w:hAnsi="Arial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lvlRestart w:val="0"/>
      <w:suff w:val="space"/>
      <w:lvlText w:val=""/>
      <w:lvlJc w:val="left"/>
      <w:pPr>
        <w:ind w:left="567" w:firstLine="1134"/>
      </w:pPr>
      <w:rPr>
        <w:rFonts w:hint="eastAsia"/>
      </w:rPr>
    </w:lvl>
    <w:lvl w:ilvl="8" w:tentative="0">
      <w:start w:val="1"/>
      <w:numFmt w:val="none"/>
      <w:lvlRestart w:val="0"/>
      <w:suff w:val="space"/>
      <w:lvlText w:val=""/>
      <w:lvlJc w:val="left"/>
      <w:pPr>
        <w:ind w:left="567" w:firstLine="1134"/>
      </w:pPr>
      <w:rPr>
        <w:rFonts w:hint="eastAsia"/>
      </w:rPr>
    </w:lvl>
  </w:abstractNum>
  <w:abstractNum w:abstractNumId="1">
    <w:nsid w:val="0000000B"/>
    <w:multiLevelType w:val="multilevel"/>
    <w:tmpl w:val="0000000B"/>
    <w:lvl w:ilvl="0" w:tentative="0">
      <w:start w:val="1"/>
      <w:numFmt w:val="none"/>
      <w:suff w:val="nothing"/>
      <w:lvlText w:val=""/>
      <w:lvlJc w:val="center"/>
      <w:pPr>
        <w:ind w:left="0" w:firstLine="0"/>
      </w:pPr>
      <w:rPr>
        <w:rFonts w:hint="default" w:ascii="Arial" w:hAnsi="Arial"/>
        <w:b/>
        <w:i w:val="0"/>
        <w:caps w:val="0"/>
        <w:strike w:val="0"/>
        <w:dstrike w:val="0"/>
        <w:vanish w:val="0"/>
        <w:color w:val="000000"/>
        <w:sz w:val="36"/>
        <w:vertAlign w:val="baseline"/>
      </w:rPr>
    </w:lvl>
    <w:lvl w:ilvl="1" w:tentative="0">
      <w:start w:val="1"/>
      <w:numFmt w:val="decimal"/>
      <w:suff w:val="nothing"/>
      <w:lvlText w:val="%1%2  "/>
      <w:lvlJc w:val="left"/>
      <w:pPr>
        <w:ind w:left="0" w:firstLine="0"/>
      </w:pPr>
      <w:rPr>
        <w:rFonts w:hint="default" w:ascii="Arial" w:hAnsi="Arial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 w:tentative="0">
      <w:start w:val="1"/>
      <w:numFmt w:val="decimal"/>
      <w:suff w:val="nothing"/>
      <w:lvlText w:val="%1%2.%3  "/>
      <w:lvlJc w:val="left"/>
      <w:pPr>
        <w:ind w:left="0" w:firstLine="0"/>
      </w:pPr>
      <w:rPr>
        <w:rFonts w:hint="default" w:ascii="Arial" w:hAnsi="Arial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 w:tentative="0">
      <w:start w:val="1"/>
      <w:numFmt w:val="decimal"/>
      <w:suff w:val="nothing"/>
      <w:lvlText w:val="%4. "/>
      <w:lvlJc w:val="left"/>
      <w:pPr>
        <w:ind w:left="1701" w:firstLine="0"/>
      </w:pPr>
      <w:rPr>
        <w:rFonts w:hint="default" w:ascii="Arial" w:hAnsi="Arial"/>
        <w:b w:val="0"/>
        <w:i w:val="0"/>
        <w:caps w:val="0"/>
        <w:strike w:val="0"/>
        <w:dstrike w:val="0"/>
        <w:vanish w:val="0"/>
        <w:color w:val="auto"/>
        <w:sz w:val="21"/>
        <w:vertAlign w:val="baseline"/>
      </w:rPr>
    </w:lvl>
    <w:lvl w:ilvl="4" w:tentative="0">
      <w:start w:val="1"/>
      <w:numFmt w:val="decimal"/>
      <w:lvlRestart w:val="0"/>
      <w:suff w:val="space"/>
      <w:lvlText w:val="图%1%5"/>
      <w:lvlJc w:val="center"/>
      <w:pPr>
        <w:ind w:left="1701" w:firstLine="0"/>
      </w:pPr>
      <w:rPr>
        <w:rFonts w:hint="default" w:ascii="Arial" w:hAnsi="Arial"/>
      </w:rPr>
    </w:lvl>
    <w:lvl w:ilvl="5" w:tentative="0">
      <w:start w:val="1"/>
      <w:numFmt w:val="decimal"/>
      <w:lvlRestart w:val="0"/>
      <w:suff w:val="space"/>
      <w:lvlText w:val="表%1%6"/>
      <w:lvlJc w:val="center"/>
      <w:pPr>
        <w:ind w:left="1701" w:firstLine="0"/>
      </w:pPr>
      <w:rPr>
        <w:rFonts w:hint="default" w:ascii="Arial" w:hAnsi="Arial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lvlRestart w:val="0"/>
      <w:suff w:val="space"/>
      <w:lvlText w:val=""/>
      <w:lvlJc w:val="left"/>
      <w:pPr>
        <w:ind w:left="567" w:firstLine="1134"/>
      </w:pPr>
      <w:rPr>
        <w:rFonts w:hint="eastAsia"/>
      </w:rPr>
    </w:lvl>
    <w:lvl w:ilvl="8" w:tentative="0">
      <w:start w:val="1"/>
      <w:numFmt w:val="none"/>
      <w:lvlRestart w:val="0"/>
      <w:suff w:val="space"/>
      <w:lvlText w:val=""/>
      <w:lvlJc w:val="left"/>
      <w:pPr>
        <w:ind w:left="567" w:firstLine="1134"/>
      </w:pPr>
      <w:rPr>
        <w:rFonts w:hint="eastAsia"/>
      </w:rPr>
    </w:lvl>
  </w:abstractNum>
  <w:abstractNum w:abstractNumId="2">
    <w:nsid w:val="59BF731E"/>
    <w:multiLevelType w:val="singleLevel"/>
    <w:tmpl w:val="59BF731E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59BF7340"/>
    <w:multiLevelType w:val="singleLevel"/>
    <w:tmpl w:val="59BF7340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4">
    <w:nsid w:val="59BF7351"/>
    <w:multiLevelType w:val="singleLevel"/>
    <w:tmpl w:val="59BF7351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5">
    <w:nsid w:val="59BF7361"/>
    <w:multiLevelType w:val="singleLevel"/>
    <w:tmpl w:val="59BF7361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6">
    <w:nsid w:val="59BF7372"/>
    <w:multiLevelType w:val="singleLevel"/>
    <w:tmpl w:val="59BF7372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7">
    <w:nsid w:val="59BF7382"/>
    <w:multiLevelType w:val="singleLevel"/>
    <w:tmpl w:val="59BF7382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8">
    <w:nsid w:val="735849EA"/>
    <w:multiLevelType w:val="multilevel"/>
    <w:tmpl w:val="735849EA"/>
    <w:lvl w:ilvl="0" w:tentative="0">
      <w:start w:val="1"/>
      <w:numFmt w:val="bullet"/>
      <w:pStyle w:val="18"/>
      <w:lvlText w:val="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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C3FE6"/>
    <w:rsid w:val="05737FA0"/>
    <w:rsid w:val="06DA0183"/>
    <w:rsid w:val="07741247"/>
    <w:rsid w:val="097147E9"/>
    <w:rsid w:val="09A81C3A"/>
    <w:rsid w:val="0A8A7168"/>
    <w:rsid w:val="0A9C3FE6"/>
    <w:rsid w:val="0B510C76"/>
    <w:rsid w:val="0D9A0351"/>
    <w:rsid w:val="12DA48B8"/>
    <w:rsid w:val="14563059"/>
    <w:rsid w:val="14D826AA"/>
    <w:rsid w:val="15462A47"/>
    <w:rsid w:val="16EC7F3A"/>
    <w:rsid w:val="17041680"/>
    <w:rsid w:val="1BC575DC"/>
    <w:rsid w:val="1BD03822"/>
    <w:rsid w:val="1EF066D0"/>
    <w:rsid w:val="1F7A7FBB"/>
    <w:rsid w:val="1F806287"/>
    <w:rsid w:val="20964ECE"/>
    <w:rsid w:val="21345D23"/>
    <w:rsid w:val="22371806"/>
    <w:rsid w:val="22412846"/>
    <w:rsid w:val="229C1F24"/>
    <w:rsid w:val="26396AE7"/>
    <w:rsid w:val="28B257F8"/>
    <w:rsid w:val="2944725C"/>
    <w:rsid w:val="29F47394"/>
    <w:rsid w:val="2B2D38AF"/>
    <w:rsid w:val="2B8A5CA8"/>
    <w:rsid w:val="2D635C1B"/>
    <w:rsid w:val="2EB764B9"/>
    <w:rsid w:val="30FD2983"/>
    <w:rsid w:val="318B6B6E"/>
    <w:rsid w:val="347906BF"/>
    <w:rsid w:val="34B0363B"/>
    <w:rsid w:val="35223B48"/>
    <w:rsid w:val="36523DB4"/>
    <w:rsid w:val="3B500857"/>
    <w:rsid w:val="3E666D17"/>
    <w:rsid w:val="3F222B5F"/>
    <w:rsid w:val="401D7F96"/>
    <w:rsid w:val="42847BE4"/>
    <w:rsid w:val="43F3049F"/>
    <w:rsid w:val="46E93EA5"/>
    <w:rsid w:val="483A6EFC"/>
    <w:rsid w:val="4AAB4379"/>
    <w:rsid w:val="4DD4023F"/>
    <w:rsid w:val="50665117"/>
    <w:rsid w:val="50A12976"/>
    <w:rsid w:val="53780ABE"/>
    <w:rsid w:val="569452B5"/>
    <w:rsid w:val="591F76C5"/>
    <w:rsid w:val="5BA61D54"/>
    <w:rsid w:val="5C0B146E"/>
    <w:rsid w:val="5CBB2688"/>
    <w:rsid w:val="5CC73418"/>
    <w:rsid w:val="5D5F77A9"/>
    <w:rsid w:val="5D8B3980"/>
    <w:rsid w:val="5EBA4F87"/>
    <w:rsid w:val="62105380"/>
    <w:rsid w:val="63993D61"/>
    <w:rsid w:val="64535B51"/>
    <w:rsid w:val="661E74A4"/>
    <w:rsid w:val="66816D18"/>
    <w:rsid w:val="67DC6B7B"/>
    <w:rsid w:val="6A1B49CC"/>
    <w:rsid w:val="7492601C"/>
    <w:rsid w:val="755A16BD"/>
    <w:rsid w:val="758E02BF"/>
    <w:rsid w:val="76F42A0E"/>
    <w:rsid w:val="7A745F00"/>
    <w:rsid w:val="7F1B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next w:val="1"/>
    <w:unhideWhenUsed/>
    <w:qFormat/>
    <w:uiPriority w:val="0"/>
    <w:pPr>
      <w:keepNext/>
      <w:adjustRightInd w:val="0"/>
      <w:snapToGrid w:val="0"/>
      <w:spacing w:before="240" w:after="240"/>
      <w:textAlignment w:val="bottom"/>
      <w:outlineLvl w:val="1"/>
    </w:pPr>
    <w:rPr>
      <w:rFonts w:ascii="Arial" w:hAnsi="Arial" w:eastAsia="黑体" w:cs="Times New Roman"/>
      <w:sz w:val="30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First Indent"/>
    <w:basedOn w:val="1"/>
    <w:qFormat/>
    <w:uiPriority w:val="0"/>
    <w:pPr>
      <w:autoSpaceDE w:val="0"/>
      <w:autoSpaceDN w:val="0"/>
      <w:adjustRightInd w:val="0"/>
      <w:spacing w:line="360" w:lineRule="auto"/>
      <w:ind w:firstLine="420" w:firstLineChars="200"/>
    </w:pPr>
    <w:rPr>
      <w:kern w:val="0"/>
      <w:szCs w:val="21"/>
    </w:rPr>
  </w:style>
  <w:style w:type="paragraph" w:styleId="5">
    <w:name w:val="Body Text"/>
    <w:basedOn w:val="1"/>
    <w:qFormat/>
    <w:uiPriority w:val="0"/>
    <w:pPr>
      <w:widowControl w:val="0"/>
      <w:autoSpaceDE w:val="0"/>
      <w:autoSpaceDN w:val="0"/>
      <w:adjustRightInd w:val="0"/>
      <w:snapToGrid/>
      <w:spacing w:before="0" w:after="120" w:line="360" w:lineRule="auto"/>
      <w:ind w:left="0"/>
      <w:jc w:val="left"/>
    </w:pPr>
    <w:rPr>
      <w:rFonts w:ascii="Times New Roman" w:hAnsi="Times New Roman" w:cs="Times New Roman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Normal_8"/>
    <w:qFormat/>
    <w:uiPriority w:val="99"/>
    <w:pPr>
      <w:spacing w:before="120" w:after="240"/>
      <w:jc w:val="both"/>
    </w:pPr>
    <w:rPr>
      <w:rFonts w:ascii="Calibri" w:hAnsi="Calibri" w:eastAsia="宋体" w:cs="Times New Roman"/>
      <w:kern w:val="0"/>
      <w:sz w:val="22"/>
      <w:szCs w:val="22"/>
      <w:lang w:val="ru-RU" w:eastAsia="en-US" w:bidi="ar-SA"/>
    </w:rPr>
  </w:style>
  <w:style w:type="paragraph" w:customStyle="1" w:styleId="16">
    <w:name w:val="table heading"/>
    <w:basedOn w:val="1"/>
    <w:qFormat/>
    <w:uiPriority w:val="0"/>
    <w:pPr>
      <w:widowControl w:val="0"/>
      <w:autoSpaceDE w:val="0"/>
      <w:autoSpaceDN w:val="0"/>
      <w:adjustRightInd w:val="0"/>
      <w:snapToGrid/>
      <w:spacing w:before="0" w:after="0" w:line="240" w:lineRule="auto"/>
      <w:ind w:left="0"/>
      <w:jc w:val="center"/>
    </w:pPr>
    <w:rPr>
      <w:rFonts w:ascii="Times New Roman" w:hAnsi="Times New Roman" w:cs="Times New Roman"/>
      <w:b/>
      <w:szCs w:val="20"/>
    </w:rPr>
  </w:style>
  <w:style w:type="paragraph" w:customStyle="1" w:styleId="17">
    <w:name w:val="Table Text"/>
    <w:uiPriority w:val="0"/>
    <w:pPr>
      <w:snapToGrid w:val="0"/>
      <w:spacing w:before="80" w:after="80"/>
    </w:pPr>
    <w:rPr>
      <w:rFonts w:ascii="Arial" w:hAnsi="Arial" w:eastAsia="宋体" w:cs="Arial"/>
      <w:sz w:val="18"/>
      <w:szCs w:val="18"/>
      <w:lang w:val="en-US" w:eastAsia="zh-CN" w:bidi="ar-SA"/>
    </w:rPr>
  </w:style>
  <w:style w:type="paragraph" w:customStyle="1" w:styleId="18">
    <w:name w:val="body.2"/>
    <w:basedOn w:val="1"/>
    <w:qFormat/>
    <w:uiPriority w:val="0"/>
    <w:pPr>
      <w:numPr>
        <w:ilvl w:val="0"/>
        <w:numId w:val="1"/>
      </w:numPr>
      <w:spacing w:before="156" w:beforeLines="50" w:after="156" w:afterLines="50"/>
    </w:pPr>
    <w:rPr>
      <w:rFonts w:ascii="Trebuchet MS" w:hAnsi="Trebuchet MS"/>
    </w:rPr>
  </w:style>
  <w:style w:type="paragraph" w:customStyle="1" w:styleId="19">
    <w:name w:val="defaul text"/>
    <w:basedOn w:val="1"/>
    <w:qFormat/>
    <w:uiPriority w:val="0"/>
    <w:pPr>
      <w:widowControl w:val="0"/>
      <w:autoSpaceDE w:val="0"/>
      <w:autoSpaceDN w:val="0"/>
      <w:adjustRightInd w:val="0"/>
      <w:snapToGrid/>
      <w:spacing w:before="0" w:after="0" w:line="360" w:lineRule="auto"/>
      <w:ind w:left="0"/>
      <w:jc w:val="left"/>
    </w:pPr>
    <w:rPr>
      <w:rFonts w:ascii="Times New Roman" w:hAnsi="Times New Roman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2636</Words>
  <Characters>4178</Characters>
  <Lines>0</Lines>
  <Paragraphs>0</Paragraphs>
  <ScaleCrop>false</ScaleCrop>
  <LinksUpToDate>false</LinksUpToDate>
  <CharactersWithSpaces>4599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2017-09-14T06:18:00Z</dcterms:created>
  <dc:creator>Administrator</dc:creator>
  <cp:lastModifiedBy>Administrator</cp:lastModifiedBy>
  <dcterms:modified xsi:type="dcterms:W3CDTF">2017-09-21T06:53:29Z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